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BB0" w:rsidRPr="00B143C1" w:rsidRDefault="00626BB0" w:rsidP="00626BB0">
      <w:pPr>
        <w:spacing w:line="480" w:lineRule="auto"/>
        <w:rPr>
          <w:rFonts w:ascii="Arial Narrow" w:hAnsi="Arial Narrow"/>
        </w:rPr>
      </w:pPr>
      <w:r w:rsidRPr="00B143C1">
        <w:rPr>
          <w:rFonts w:ascii="Arial Narrow" w:hAnsi="Arial Narrow"/>
        </w:rPr>
        <w:t xml:space="preserve">Le Contrat de Délégation de Service Public (DSP) pour la construction, le financement et l’exploitation d’un Centre </w:t>
      </w:r>
      <w:proofErr w:type="spellStart"/>
      <w:r w:rsidRPr="00B143C1">
        <w:rPr>
          <w:rFonts w:ascii="Arial Narrow" w:hAnsi="Arial Narrow"/>
        </w:rPr>
        <w:t>Multifilières</w:t>
      </w:r>
      <w:proofErr w:type="spellEnd"/>
      <w:r w:rsidRPr="00B143C1">
        <w:rPr>
          <w:rFonts w:ascii="Arial Narrow" w:hAnsi="Arial Narrow"/>
        </w:rPr>
        <w:t xml:space="preserve"> de traitement des déchets ménagers et assimilés de la Communauté Urbaine de Marseille Provence Métropole (MPM), notifié le 22 juillet 2005 par MPM et par le Groupement </w:t>
      </w:r>
      <w:r w:rsidRPr="00B143C1">
        <w:rPr>
          <w:rFonts w:ascii="Arial Narrow" w:hAnsi="Arial Narrow"/>
          <w:caps/>
        </w:rPr>
        <w:t>Urbaser-Valorga</w:t>
      </w:r>
      <w:r w:rsidRPr="00B143C1">
        <w:rPr>
          <w:rFonts w:ascii="Arial Narrow" w:hAnsi="Arial Narrow"/>
        </w:rPr>
        <w:t xml:space="preserve">, ce dernier ayant été substitué conformément à ses obligations contractuelles, par la société dédiée EveRé SAS, est actuellement dans sa phase </w:t>
      </w:r>
      <w:r w:rsidR="005353D8">
        <w:rPr>
          <w:rFonts w:ascii="Arial Narrow" w:hAnsi="Arial Narrow"/>
        </w:rPr>
        <w:t>final de la MSI</w:t>
      </w:r>
      <w:r w:rsidRPr="00B143C1">
        <w:rPr>
          <w:rFonts w:ascii="Arial Narrow" w:hAnsi="Arial Narrow"/>
        </w:rPr>
        <w:t xml:space="preserve">. Ce Contrat prévoit la construction d’une installation de tri-incinération-méthanisation d’une capacité nominale de traitement de </w:t>
      </w:r>
      <w:r w:rsidRPr="00B143C1">
        <w:rPr>
          <w:rFonts w:ascii="Arial Narrow" w:hAnsi="Arial Narrow"/>
          <w:b/>
          <w:color w:val="17365D"/>
        </w:rPr>
        <w:t>410 000</w:t>
      </w:r>
      <w:r w:rsidRPr="00B143C1">
        <w:rPr>
          <w:rFonts w:ascii="Arial Narrow" w:hAnsi="Arial Narrow"/>
        </w:rPr>
        <w:t xml:space="preserve"> tonnes par an de déchets ménagers et assimilés.</w:t>
      </w:r>
    </w:p>
    <w:p w:rsidR="00626BB0" w:rsidRPr="00B143C1" w:rsidRDefault="00626BB0" w:rsidP="00626BB0">
      <w:pPr>
        <w:spacing w:line="480" w:lineRule="auto"/>
        <w:rPr>
          <w:rFonts w:ascii="Arial Narrow" w:hAnsi="Arial Narrow"/>
        </w:rPr>
      </w:pPr>
      <w:r w:rsidRPr="00B143C1">
        <w:rPr>
          <w:rFonts w:ascii="Arial Narrow" w:hAnsi="Arial Narrow"/>
        </w:rPr>
        <w:t xml:space="preserve">Ce montant de la construction prévu à la date de signature du Contrat s’élève à </w:t>
      </w:r>
      <w:r w:rsidRPr="00B143C1">
        <w:rPr>
          <w:rFonts w:ascii="Arial Narrow" w:hAnsi="Arial Narrow"/>
          <w:b/>
          <w:color w:val="17365D"/>
        </w:rPr>
        <w:t>280 087 690</w:t>
      </w:r>
      <w:r w:rsidRPr="00B143C1">
        <w:rPr>
          <w:rFonts w:ascii="Arial Narrow" w:hAnsi="Arial Narrow"/>
        </w:rPr>
        <w:t xml:space="preserve"> Euros HT (valeur octobre 2004). </w:t>
      </w:r>
    </w:p>
    <w:p w:rsidR="00626BB0" w:rsidRPr="00B143C1" w:rsidRDefault="00626BB0" w:rsidP="00626BB0">
      <w:pPr>
        <w:spacing w:line="480" w:lineRule="auto"/>
        <w:rPr>
          <w:rFonts w:ascii="Arial Narrow" w:hAnsi="Arial Narrow"/>
        </w:rPr>
      </w:pPr>
      <w:r w:rsidRPr="00B143C1">
        <w:rPr>
          <w:rFonts w:ascii="Arial Narrow" w:hAnsi="Arial Narrow"/>
        </w:rPr>
        <w:t xml:space="preserve">La durée de la </w:t>
      </w:r>
      <w:r w:rsidR="005353D8">
        <w:rPr>
          <w:rFonts w:ascii="Arial Narrow" w:hAnsi="Arial Narrow"/>
        </w:rPr>
        <w:t>phase 1 (construction et MSI)</w:t>
      </w:r>
      <w:r w:rsidRPr="00B143C1">
        <w:rPr>
          <w:rFonts w:ascii="Arial Narrow" w:hAnsi="Arial Narrow"/>
        </w:rPr>
        <w:t xml:space="preserve"> était de </w:t>
      </w:r>
      <w:r w:rsidRPr="00B143C1">
        <w:rPr>
          <w:rFonts w:ascii="Arial Narrow" w:hAnsi="Arial Narrow"/>
          <w:b/>
          <w:color w:val="17365D"/>
        </w:rPr>
        <w:t>28</w:t>
      </w:r>
      <w:r w:rsidRPr="00B143C1">
        <w:rPr>
          <w:rFonts w:ascii="Arial Narrow" w:hAnsi="Arial Narrow"/>
        </w:rPr>
        <w:t xml:space="preserve"> mois à partir de l’obtention des autorisations administratives (Autorisation d’exploiter et Permis de construire).</w:t>
      </w:r>
    </w:p>
    <w:p w:rsidR="005353D8" w:rsidRDefault="00626BB0" w:rsidP="00626BB0">
      <w:pPr>
        <w:spacing w:line="480" w:lineRule="auto"/>
        <w:rPr>
          <w:rFonts w:ascii="Arial Narrow" w:hAnsi="Arial Narrow"/>
        </w:rPr>
      </w:pPr>
      <w:r w:rsidRPr="00B143C1">
        <w:rPr>
          <w:rFonts w:ascii="Arial Narrow" w:hAnsi="Arial Narrow"/>
        </w:rPr>
        <w:t xml:space="preserve">Cette durée de </w:t>
      </w:r>
      <w:proofErr w:type="gramStart"/>
      <w:r w:rsidR="005353D8">
        <w:rPr>
          <w:rFonts w:ascii="Arial Narrow" w:hAnsi="Arial Narrow"/>
        </w:rPr>
        <w:t>le</w:t>
      </w:r>
      <w:proofErr w:type="gramEnd"/>
      <w:r w:rsidR="005353D8">
        <w:rPr>
          <w:rFonts w:ascii="Arial Narrow" w:hAnsi="Arial Narrow"/>
        </w:rPr>
        <w:t xml:space="preserve"> phase 1 </w:t>
      </w:r>
      <w:r w:rsidRPr="00B143C1">
        <w:rPr>
          <w:rFonts w:ascii="Arial Narrow" w:hAnsi="Arial Narrow"/>
        </w:rPr>
        <w:t xml:space="preserve">a été augmentée </w:t>
      </w:r>
      <w:r w:rsidR="005353D8">
        <w:rPr>
          <w:rFonts w:ascii="Arial Narrow" w:hAnsi="Arial Narrow"/>
        </w:rPr>
        <w:t xml:space="preserve">une première fois </w:t>
      </w:r>
      <w:r w:rsidRPr="00B143C1">
        <w:rPr>
          <w:rFonts w:ascii="Arial Narrow" w:hAnsi="Arial Narrow"/>
        </w:rPr>
        <w:t xml:space="preserve">de </w:t>
      </w:r>
      <w:r w:rsidRPr="00B143C1">
        <w:rPr>
          <w:rFonts w:ascii="Arial Narrow" w:hAnsi="Arial Narrow"/>
          <w:b/>
          <w:color w:val="17365D"/>
        </w:rPr>
        <w:t>19</w:t>
      </w:r>
      <w:r w:rsidRPr="00B143C1">
        <w:rPr>
          <w:rFonts w:ascii="Arial Narrow" w:hAnsi="Arial Narrow"/>
        </w:rPr>
        <w:t xml:space="preserve"> mois par Délibération en date du 19 février 2009</w:t>
      </w:r>
      <w:r w:rsidR="005353D8">
        <w:rPr>
          <w:rFonts w:ascii="Arial Narrow" w:hAnsi="Arial Narrow"/>
        </w:rPr>
        <w:t xml:space="preserve"> et une deuxième fois de 9 mois par délibération en date 18 </w:t>
      </w:r>
      <w:proofErr w:type="spellStart"/>
      <w:r w:rsidR="005353D8">
        <w:rPr>
          <w:rFonts w:ascii="Arial Narrow" w:hAnsi="Arial Narrow"/>
        </w:rPr>
        <w:t>decembre</w:t>
      </w:r>
      <w:proofErr w:type="spellEnd"/>
      <w:r w:rsidR="005353D8">
        <w:rPr>
          <w:rFonts w:ascii="Arial Narrow" w:hAnsi="Arial Narrow"/>
        </w:rPr>
        <w:t xml:space="preserve"> 2009, fixant la fin de la MSI</w:t>
      </w:r>
      <w:r w:rsidR="00640345">
        <w:rPr>
          <w:rFonts w:ascii="Arial Narrow" w:hAnsi="Arial Narrow"/>
        </w:rPr>
        <w:t>,</w:t>
      </w:r>
      <w:r w:rsidR="005353D8">
        <w:rPr>
          <w:rFonts w:ascii="Arial Narrow" w:hAnsi="Arial Narrow"/>
        </w:rPr>
        <w:t xml:space="preserve"> et par </w:t>
      </w:r>
      <w:r w:rsidR="00640345">
        <w:rPr>
          <w:rFonts w:ascii="Arial Narrow" w:hAnsi="Arial Narrow"/>
        </w:rPr>
        <w:t>conséquence</w:t>
      </w:r>
      <w:r w:rsidR="005353D8">
        <w:rPr>
          <w:rFonts w:ascii="Arial Narrow" w:hAnsi="Arial Narrow"/>
        </w:rPr>
        <w:t xml:space="preserve"> la fin de la P</w:t>
      </w:r>
      <w:r w:rsidR="00640345">
        <w:rPr>
          <w:rFonts w:ascii="Arial Narrow" w:hAnsi="Arial Narrow"/>
        </w:rPr>
        <w:t>h</w:t>
      </w:r>
      <w:r w:rsidR="005353D8">
        <w:rPr>
          <w:rFonts w:ascii="Arial Narrow" w:hAnsi="Arial Narrow"/>
        </w:rPr>
        <w:t>ase 1 (construction et MSI)</w:t>
      </w:r>
      <w:r w:rsidR="00640345">
        <w:rPr>
          <w:rFonts w:ascii="Arial Narrow" w:hAnsi="Arial Narrow"/>
        </w:rPr>
        <w:t>,</w:t>
      </w:r>
      <w:r w:rsidR="005353D8">
        <w:rPr>
          <w:rFonts w:ascii="Arial Narrow" w:hAnsi="Arial Narrow"/>
        </w:rPr>
        <w:t xml:space="preserve"> le 30 novembre 2010.</w:t>
      </w:r>
      <w:r w:rsidR="00640345">
        <w:rPr>
          <w:rFonts w:ascii="Arial Narrow" w:hAnsi="Arial Narrow"/>
        </w:rPr>
        <w:t xml:space="preserve"> </w:t>
      </w:r>
      <w:proofErr w:type="gramStart"/>
      <w:r w:rsidR="00640345">
        <w:rPr>
          <w:rFonts w:ascii="Arial Narrow" w:hAnsi="Arial Narrow"/>
        </w:rPr>
        <w:t>Ce</w:t>
      </w:r>
      <w:proofErr w:type="gramEnd"/>
      <w:r w:rsidR="00640345">
        <w:rPr>
          <w:rFonts w:ascii="Arial Narrow" w:hAnsi="Arial Narrow"/>
        </w:rPr>
        <w:t xml:space="preserve"> deuxième délibération est présenté en Annexe XX</w:t>
      </w:r>
    </w:p>
    <w:p w:rsidR="00626BB0" w:rsidRPr="00B143C1" w:rsidRDefault="00626BB0" w:rsidP="00626BB0">
      <w:pPr>
        <w:spacing w:line="480" w:lineRule="auto"/>
        <w:rPr>
          <w:rFonts w:ascii="Arial Narrow" w:hAnsi="Arial Narrow"/>
        </w:rPr>
      </w:pPr>
      <w:r w:rsidRPr="00B143C1">
        <w:rPr>
          <w:rFonts w:ascii="Arial Narrow" w:hAnsi="Arial Narrow"/>
        </w:rPr>
        <w:t>Cette nouvelle circonstance a été prise en compte dans tous les calculs des surcoûts en relation avec le retard du délai d’exécution.</w:t>
      </w:r>
    </w:p>
    <w:p w:rsidR="00640345" w:rsidRDefault="005353D8" w:rsidP="00626BB0">
      <w:pPr>
        <w:spacing w:line="480" w:lineRule="auto"/>
        <w:rPr>
          <w:rFonts w:ascii="Arial Narrow" w:hAnsi="Arial Narrow"/>
        </w:rPr>
      </w:pPr>
      <w:r>
        <w:rPr>
          <w:rFonts w:ascii="Arial Narrow" w:hAnsi="Arial Narrow"/>
        </w:rPr>
        <w:t xml:space="preserve">La présente réclamation est </w:t>
      </w:r>
      <w:r w:rsidR="00640345">
        <w:rPr>
          <w:rFonts w:ascii="Arial Narrow" w:hAnsi="Arial Narrow"/>
        </w:rPr>
        <w:t>présentée</w:t>
      </w:r>
      <w:r>
        <w:rPr>
          <w:rFonts w:ascii="Arial Narrow" w:hAnsi="Arial Narrow"/>
        </w:rPr>
        <w:t xml:space="preserve"> comme continuation au Dossier Technico </w:t>
      </w:r>
      <w:r w:rsidR="00640345">
        <w:rPr>
          <w:rFonts w:ascii="Arial Narrow" w:hAnsi="Arial Narrow"/>
        </w:rPr>
        <w:t>et Financière</w:t>
      </w:r>
      <w:r>
        <w:rPr>
          <w:rFonts w:ascii="Arial Narrow" w:hAnsi="Arial Narrow"/>
        </w:rPr>
        <w:t xml:space="preserve"> Phase 1 et Phase 2 </w:t>
      </w:r>
      <w:r w:rsidR="00640345">
        <w:rPr>
          <w:rFonts w:ascii="Arial Narrow" w:hAnsi="Arial Narrow"/>
        </w:rPr>
        <w:t xml:space="preserve"> qui tenaient en compte des événements entre le début de la DSP et février 2009</w:t>
      </w:r>
      <w:r w:rsidR="00816469">
        <w:rPr>
          <w:rFonts w:ascii="Arial Narrow" w:hAnsi="Arial Narrow"/>
        </w:rPr>
        <w:t xml:space="preserve"> et que a été transmis à MPM par </w:t>
      </w:r>
      <w:r w:rsidR="009C4659">
        <w:rPr>
          <w:rFonts w:ascii="Arial Narrow" w:hAnsi="Arial Narrow"/>
        </w:rPr>
        <w:t>B</w:t>
      </w:r>
      <w:r w:rsidR="00816469">
        <w:rPr>
          <w:rFonts w:ascii="Arial Narrow" w:hAnsi="Arial Narrow"/>
        </w:rPr>
        <w:t xml:space="preserve">ordereau </w:t>
      </w:r>
      <w:r w:rsidR="009C4659">
        <w:rPr>
          <w:rFonts w:ascii="Arial Narrow" w:hAnsi="Arial Narrow"/>
        </w:rPr>
        <w:t xml:space="preserve">N EVE 00127 MER </w:t>
      </w:r>
      <w:r w:rsidR="00816469">
        <w:rPr>
          <w:rFonts w:ascii="Arial Narrow" w:hAnsi="Arial Narrow"/>
        </w:rPr>
        <w:t>en date 7 aout de 2009</w:t>
      </w:r>
      <w:r w:rsidR="009C4659">
        <w:rPr>
          <w:rFonts w:ascii="Arial Narrow" w:hAnsi="Arial Narrow"/>
        </w:rPr>
        <w:t xml:space="preserve"> en Annexe XX</w:t>
      </w:r>
      <w:r w:rsidR="00640345">
        <w:rPr>
          <w:rFonts w:ascii="Arial Narrow" w:hAnsi="Arial Narrow"/>
        </w:rPr>
        <w:t>.</w:t>
      </w:r>
    </w:p>
    <w:p w:rsidR="00640345" w:rsidRDefault="00640345" w:rsidP="00626BB0">
      <w:pPr>
        <w:spacing w:line="480" w:lineRule="auto"/>
        <w:rPr>
          <w:rFonts w:ascii="Arial Narrow" w:hAnsi="Arial Narrow"/>
        </w:rPr>
      </w:pPr>
      <w:r>
        <w:rPr>
          <w:rFonts w:ascii="Arial Narrow" w:hAnsi="Arial Narrow"/>
        </w:rPr>
        <w:t>Le Dossier Technico et Financière II : Phase 1 et Phase 2 tient en compte des événements qui se sont produits entre février 2009 et la date de présentation de ce dossier.</w:t>
      </w:r>
    </w:p>
    <w:p w:rsidR="00626BB0" w:rsidRPr="00B143C1" w:rsidRDefault="00626BB0" w:rsidP="00626BB0">
      <w:pPr>
        <w:spacing w:line="480" w:lineRule="auto"/>
        <w:rPr>
          <w:rFonts w:ascii="Arial Narrow" w:hAnsi="Arial Narrow"/>
        </w:rPr>
      </w:pPr>
      <w:r w:rsidRPr="00B143C1">
        <w:rPr>
          <w:rFonts w:ascii="Arial Narrow" w:hAnsi="Arial Narrow"/>
        </w:rPr>
        <w:lastRenderedPageBreak/>
        <w:t xml:space="preserve">Durant </w:t>
      </w:r>
      <w:r w:rsidR="00640345">
        <w:rPr>
          <w:rFonts w:ascii="Arial Narrow" w:hAnsi="Arial Narrow"/>
        </w:rPr>
        <w:t xml:space="preserve">ce </w:t>
      </w:r>
      <w:r w:rsidR="00816469">
        <w:rPr>
          <w:rFonts w:ascii="Arial Narrow" w:hAnsi="Arial Narrow"/>
        </w:rPr>
        <w:t>période</w:t>
      </w:r>
      <w:r w:rsidRPr="00B143C1">
        <w:rPr>
          <w:rFonts w:ascii="Arial Narrow" w:hAnsi="Arial Narrow"/>
        </w:rPr>
        <w:t xml:space="preserve"> du Contrat se sont produites les circonstances suivantes qui sont à l’origine du présent Dossier : </w:t>
      </w:r>
    </w:p>
    <w:p w:rsidR="00626BB0" w:rsidRPr="00B143C1" w:rsidRDefault="00626BB0" w:rsidP="00626BB0">
      <w:pPr>
        <w:numPr>
          <w:ilvl w:val="0"/>
          <w:numId w:val="1"/>
        </w:numPr>
        <w:spacing w:line="480" w:lineRule="auto"/>
        <w:rPr>
          <w:rFonts w:ascii="Arial Narrow" w:hAnsi="Arial Narrow"/>
          <w:sz w:val="28"/>
          <w:szCs w:val="28"/>
        </w:rPr>
      </w:pPr>
      <w:r w:rsidRPr="00B143C1">
        <w:rPr>
          <w:rFonts w:ascii="Arial Narrow" w:hAnsi="Arial Narrow"/>
        </w:rPr>
        <w:t xml:space="preserve">des prescriptions administratives complémentaires et/ou supplémentaires et/ou plus sévères  et /ou des évènements imprévisibles et extérieurs à EveRé, qui se sont révélés depuis la </w:t>
      </w:r>
      <w:r w:rsidR="00640345">
        <w:rPr>
          <w:rFonts w:ascii="Arial Narrow" w:hAnsi="Arial Narrow"/>
        </w:rPr>
        <w:t>février 2009</w:t>
      </w:r>
      <w:r w:rsidRPr="00B143C1">
        <w:rPr>
          <w:rFonts w:ascii="Arial Narrow" w:hAnsi="Arial Narrow"/>
        </w:rPr>
        <w:t xml:space="preserve"> et qui n’ont pas été établis dans la DSP,</w:t>
      </w:r>
    </w:p>
    <w:p w:rsidR="00626BB0" w:rsidRPr="00B143C1" w:rsidRDefault="00626BB0" w:rsidP="00626BB0">
      <w:pPr>
        <w:numPr>
          <w:ilvl w:val="0"/>
          <w:numId w:val="1"/>
        </w:numPr>
        <w:spacing w:line="480" w:lineRule="auto"/>
        <w:rPr>
          <w:rFonts w:ascii="Arial Narrow" w:hAnsi="Arial Narrow"/>
        </w:rPr>
      </w:pPr>
      <w:r w:rsidRPr="00B143C1">
        <w:rPr>
          <w:rFonts w:ascii="Arial Narrow" w:hAnsi="Arial Narrow"/>
        </w:rPr>
        <w:t>des adaptations ou améliorations admises sur le principe par la CUMPM par voie de fiches de demandes de modifications, de courriels échangés et de comptes-rendus mensuels entre la CUMPM, son Assistant Technique et EveRé et,</w:t>
      </w:r>
    </w:p>
    <w:p w:rsidR="00626BB0" w:rsidRPr="00B143C1" w:rsidRDefault="00626BB0" w:rsidP="00626BB0">
      <w:pPr>
        <w:spacing w:line="480" w:lineRule="auto"/>
        <w:rPr>
          <w:rFonts w:ascii="Arial Narrow" w:hAnsi="Arial Narrow"/>
        </w:rPr>
      </w:pPr>
      <w:r w:rsidRPr="00B143C1">
        <w:rPr>
          <w:rFonts w:ascii="Arial Narrow" w:hAnsi="Arial Narrow"/>
        </w:rPr>
        <w:t>Ces changements ont eu pour conséquences des impacts sur le montant économique du Projet (</w:t>
      </w:r>
      <w:r w:rsidRPr="00B143C1">
        <w:rPr>
          <w:rFonts w:ascii="Arial Narrow" w:hAnsi="Arial Narrow"/>
          <w:b/>
          <w:color w:val="17365D"/>
        </w:rPr>
        <w:t xml:space="preserve">Phase 1 </w:t>
      </w:r>
      <w:r w:rsidRPr="00B143C1">
        <w:rPr>
          <w:rFonts w:ascii="Arial Narrow" w:hAnsi="Arial Narrow"/>
        </w:rPr>
        <w:t xml:space="preserve">et </w:t>
      </w:r>
      <w:r w:rsidRPr="00B143C1">
        <w:rPr>
          <w:rFonts w:ascii="Arial Narrow" w:hAnsi="Arial Narrow"/>
          <w:b/>
          <w:color w:val="17365D"/>
        </w:rPr>
        <w:t>Phase 2</w:t>
      </w:r>
      <w:r w:rsidRPr="00B143C1">
        <w:rPr>
          <w:rFonts w:ascii="Arial Narrow" w:hAnsi="Arial Narrow"/>
        </w:rPr>
        <w:t>).</w:t>
      </w:r>
    </w:p>
    <w:p w:rsidR="00626BB0" w:rsidRPr="00B143C1" w:rsidRDefault="00626BB0" w:rsidP="00626BB0">
      <w:pPr>
        <w:spacing w:line="480" w:lineRule="auto"/>
        <w:rPr>
          <w:rFonts w:ascii="Arial Narrow" w:hAnsi="Arial Narrow"/>
        </w:rPr>
      </w:pPr>
    </w:p>
    <w:p w:rsidR="00626BB0" w:rsidRPr="00B143C1" w:rsidRDefault="00626BB0" w:rsidP="00626BB0">
      <w:pPr>
        <w:spacing w:line="480" w:lineRule="auto"/>
        <w:rPr>
          <w:rFonts w:ascii="Arial Narrow" w:hAnsi="Arial Narrow"/>
        </w:rPr>
      </w:pPr>
    </w:p>
    <w:p w:rsidR="00626BB0" w:rsidRPr="00B143C1" w:rsidRDefault="00626BB0" w:rsidP="00626BB0">
      <w:pPr>
        <w:spacing w:line="480" w:lineRule="auto"/>
        <w:rPr>
          <w:rFonts w:ascii="Arial Narrow" w:hAnsi="Arial Narrow"/>
        </w:rPr>
      </w:pPr>
    </w:p>
    <w:p w:rsidR="00626BB0" w:rsidRPr="00B143C1" w:rsidRDefault="00626BB0" w:rsidP="00626BB0">
      <w:pPr>
        <w:pStyle w:val="Titre2"/>
        <w:numPr>
          <w:ilvl w:val="0"/>
          <w:numId w:val="3"/>
        </w:numPr>
        <w:spacing w:line="480" w:lineRule="auto"/>
        <w:rPr>
          <w:rFonts w:ascii="Arial Narrow" w:hAnsi="Arial Narrow"/>
          <w:i w:val="0"/>
          <w:sz w:val="24"/>
          <w:szCs w:val="24"/>
        </w:rPr>
      </w:pPr>
      <w:bookmarkStart w:id="0" w:name="_Toc237334520"/>
      <w:r w:rsidRPr="00B143C1">
        <w:rPr>
          <w:rFonts w:ascii="Arial Narrow" w:hAnsi="Arial Narrow"/>
          <w:i w:val="0"/>
          <w:sz w:val="24"/>
          <w:szCs w:val="24"/>
        </w:rPr>
        <w:t>Dispositions Contractuelles</w:t>
      </w:r>
      <w:bookmarkEnd w:id="0"/>
    </w:p>
    <w:p w:rsidR="00626BB0" w:rsidRPr="00B143C1" w:rsidRDefault="00626BB0" w:rsidP="00626BB0">
      <w:pPr>
        <w:spacing w:line="480" w:lineRule="auto"/>
        <w:rPr>
          <w:rFonts w:ascii="Arial Narrow" w:hAnsi="Arial Narrow"/>
        </w:rPr>
      </w:pPr>
      <w:r w:rsidRPr="00B143C1">
        <w:rPr>
          <w:rFonts w:ascii="Arial Narrow" w:hAnsi="Arial Narrow"/>
        </w:rPr>
        <w:t>Pour l’établissement de ce Dossier, les dispositions contractuelles sur lesquelles EveRé se base sont :</w:t>
      </w:r>
    </w:p>
    <w:p w:rsidR="00626BB0" w:rsidRPr="00B143C1" w:rsidRDefault="00626BB0" w:rsidP="00626BB0">
      <w:pPr>
        <w:pStyle w:val="Titre3"/>
        <w:numPr>
          <w:ilvl w:val="0"/>
          <w:numId w:val="0"/>
        </w:numPr>
        <w:spacing w:line="480" w:lineRule="auto"/>
        <w:ind w:left="900"/>
      </w:pPr>
      <w:bookmarkStart w:id="1" w:name="_Toc237334521"/>
      <w:r w:rsidRPr="00B143C1">
        <w:t>2.1. Extraits de la Délégation de Service Public</w:t>
      </w:r>
      <w:bookmarkEnd w:id="1"/>
    </w:p>
    <w:p w:rsidR="00626BB0" w:rsidRPr="00B143C1" w:rsidRDefault="00626BB0" w:rsidP="00626BB0">
      <w:pPr>
        <w:pStyle w:val="Titre4"/>
        <w:numPr>
          <w:ilvl w:val="0"/>
          <w:numId w:val="0"/>
        </w:numPr>
        <w:spacing w:line="480" w:lineRule="auto"/>
        <w:ind w:left="1440"/>
        <w:rPr>
          <w:rFonts w:ascii="Arial Narrow" w:hAnsi="Arial Narrow"/>
          <w:sz w:val="24"/>
          <w:szCs w:val="24"/>
        </w:rPr>
      </w:pPr>
      <w:bookmarkStart w:id="2" w:name="_Toc237334522"/>
      <w:r w:rsidRPr="00B143C1">
        <w:rPr>
          <w:rFonts w:ascii="Arial Narrow" w:hAnsi="Arial Narrow"/>
          <w:sz w:val="24"/>
          <w:szCs w:val="24"/>
        </w:rPr>
        <w:t>2.1.1. Pour la Phase 1</w:t>
      </w:r>
      <w:bookmarkEnd w:id="2"/>
      <w:r w:rsidRPr="00B143C1">
        <w:rPr>
          <w:rFonts w:ascii="Arial Narrow" w:hAnsi="Arial Narrow"/>
          <w:sz w:val="24"/>
          <w:szCs w:val="24"/>
        </w:rPr>
        <w:t xml:space="preserve"> </w:t>
      </w:r>
    </w:p>
    <w:p w:rsidR="00626BB0" w:rsidRPr="00B143C1" w:rsidRDefault="00626BB0" w:rsidP="00626BB0">
      <w:pPr>
        <w:spacing w:line="480" w:lineRule="auto"/>
        <w:rPr>
          <w:rFonts w:ascii="Arial Narrow" w:hAnsi="Arial Narrow"/>
          <w:i/>
        </w:rPr>
      </w:pPr>
      <w:r w:rsidRPr="00B143C1">
        <w:rPr>
          <w:rFonts w:ascii="Arial Narrow" w:hAnsi="Arial Narrow"/>
          <w:b/>
          <w:shadow/>
          <w:color w:val="17365D"/>
        </w:rPr>
        <w:t>Article 11.</w:t>
      </w:r>
      <w:r w:rsidRPr="00B143C1">
        <w:rPr>
          <w:rFonts w:ascii="Arial Narrow" w:hAnsi="Arial Narrow"/>
          <w:b/>
        </w:rPr>
        <w:t xml:space="preserve"> </w:t>
      </w:r>
      <w:r w:rsidRPr="00B143C1">
        <w:rPr>
          <w:rFonts w:ascii="Arial Narrow" w:hAnsi="Arial Narrow"/>
        </w:rPr>
        <w:t>–</w:t>
      </w:r>
      <w:r w:rsidRPr="00B143C1">
        <w:rPr>
          <w:rFonts w:ascii="Arial Narrow" w:hAnsi="Arial Narrow"/>
          <w:i/>
        </w:rPr>
        <w:t xml:space="preserve"> «Ainsi, et sauf cas de force majeure rendant plus onéreuse la réalisation des travaux projetés, dont lui appartiendra de rapporter la preuve matérielle, le Délégataire ne pourra en aucune manière revendiquer du Délégant une quelconque révision des conditions financières de la Délégation de service public au motif d’un dépassement du montant des investissements…».</w:t>
      </w:r>
    </w:p>
    <w:p w:rsidR="00626BB0" w:rsidRPr="00B143C1" w:rsidRDefault="00626BB0" w:rsidP="00626BB0">
      <w:pPr>
        <w:spacing w:line="480" w:lineRule="auto"/>
        <w:rPr>
          <w:rFonts w:ascii="Arial Narrow" w:hAnsi="Arial Narrow"/>
          <w:i/>
        </w:rPr>
      </w:pPr>
      <w:r w:rsidRPr="00B143C1">
        <w:rPr>
          <w:rFonts w:ascii="Arial Narrow" w:hAnsi="Arial Narrow"/>
          <w:b/>
          <w:shadow/>
          <w:color w:val="17365D"/>
        </w:rPr>
        <w:lastRenderedPageBreak/>
        <w:t>Article 13.1</w:t>
      </w:r>
      <w:r w:rsidRPr="00B143C1">
        <w:rPr>
          <w:rFonts w:ascii="Arial Narrow" w:hAnsi="Arial Narrow"/>
          <w:i/>
        </w:rPr>
        <w:t>. – «Le Délégataire ne peut apporter au projet de construction ainsi défini aucune modification de ses caractéristiques générales de nature à modifier les performances garanties par lui, sans avoir obtenu préalablement l’agrément du Délégant. Cet agrément est réputé acquis dans le silence du Délégant à l’issue d’un délai de quinze jours suivant la réception par ce dernier d’un dossier complet détaillant les modifications envisagées».</w:t>
      </w:r>
    </w:p>
    <w:p w:rsidR="00626BB0" w:rsidRPr="00B143C1" w:rsidRDefault="00626BB0" w:rsidP="00626BB0">
      <w:pPr>
        <w:spacing w:line="480" w:lineRule="auto"/>
        <w:rPr>
          <w:rFonts w:ascii="Arial Narrow" w:hAnsi="Arial Narrow"/>
          <w:i/>
        </w:rPr>
      </w:pPr>
    </w:p>
    <w:p w:rsidR="00626BB0" w:rsidRPr="00B143C1" w:rsidRDefault="00626BB0" w:rsidP="00626BB0">
      <w:pPr>
        <w:spacing w:line="480" w:lineRule="auto"/>
        <w:rPr>
          <w:rFonts w:ascii="Arial Narrow" w:hAnsi="Arial Narrow"/>
          <w:i/>
        </w:rPr>
      </w:pPr>
      <w:r w:rsidRPr="00B143C1">
        <w:rPr>
          <w:rFonts w:ascii="Arial Narrow" w:hAnsi="Arial Narrow"/>
          <w:b/>
          <w:shadow/>
          <w:color w:val="17365D"/>
        </w:rPr>
        <w:t>Article 17.1.1.</w:t>
      </w:r>
      <w:r w:rsidRPr="00B143C1">
        <w:rPr>
          <w:rFonts w:ascii="Arial Narrow" w:hAnsi="Arial Narrow"/>
          <w:i/>
        </w:rPr>
        <w:t xml:space="preserve"> – Montant forfaitaire garanti des investissements : «… Sauf cas de force majeure dont il lui appartiendra de rapporter la preuve matérielle, le Délégataire ne pourra solliciter aucune révision de l’économie de la délégation de service public, en invoquant un quelconque dépassement du coût des travaux… A la date contractuelle de fin de Mise en service industriel telle que définie à l’article 16 de la présente convention, le montant des investissements ci-dessus sera ajusté définitivement, en tenant compte :</w:t>
      </w:r>
    </w:p>
    <w:p w:rsidR="00626BB0" w:rsidRPr="00B143C1" w:rsidRDefault="00626BB0" w:rsidP="00626BB0">
      <w:pPr>
        <w:numPr>
          <w:ilvl w:val="0"/>
          <w:numId w:val="2"/>
        </w:numPr>
        <w:spacing w:line="480" w:lineRule="auto"/>
        <w:rPr>
          <w:rFonts w:ascii="Arial Narrow" w:hAnsi="Arial Narrow"/>
          <w:i/>
        </w:rPr>
      </w:pPr>
      <w:r w:rsidRPr="00B143C1">
        <w:rPr>
          <w:rFonts w:ascii="Arial Narrow" w:hAnsi="Arial Narrow"/>
          <w:i/>
        </w:rPr>
        <w:t>Des plus-values éventuelles dues à la mise en conformité avec une nouvelle réglementation dont l’entrée en vigueur non prévisible serait postérieure à la date de signature de la présente convention, ou à un report dans le temps du planning prévisionnel qui serait dû à un événement de force majeure, dont il appartiendra au Délégataire de rapporter la preuve matérielle,</w:t>
      </w:r>
    </w:p>
    <w:p w:rsidR="00626BB0" w:rsidRPr="00B143C1" w:rsidRDefault="00626BB0" w:rsidP="00626BB0">
      <w:pPr>
        <w:numPr>
          <w:ilvl w:val="0"/>
          <w:numId w:val="2"/>
        </w:numPr>
        <w:spacing w:line="480" w:lineRule="auto"/>
        <w:rPr>
          <w:rFonts w:ascii="Arial Narrow" w:hAnsi="Arial Narrow"/>
          <w:i/>
        </w:rPr>
      </w:pPr>
      <w:r w:rsidRPr="00B143C1">
        <w:rPr>
          <w:rFonts w:ascii="Arial Narrow" w:hAnsi="Arial Narrow"/>
          <w:i/>
        </w:rPr>
        <w:t>De plus ou moins-values résultant d’aménagements ou d’adaptations spécifiques demandées par le Délégataire et agréés par le Délégant selon les modalités prévues à l’article 13.1 de la présente convention…».</w:t>
      </w:r>
    </w:p>
    <w:p w:rsidR="00626BB0" w:rsidRPr="00B143C1" w:rsidRDefault="00626BB0" w:rsidP="00626BB0">
      <w:pPr>
        <w:pStyle w:val="Titre4"/>
        <w:numPr>
          <w:ilvl w:val="0"/>
          <w:numId w:val="0"/>
        </w:numPr>
        <w:spacing w:line="480" w:lineRule="auto"/>
        <w:ind w:left="1440"/>
        <w:rPr>
          <w:rFonts w:ascii="Arial Narrow" w:hAnsi="Arial Narrow"/>
          <w:sz w:val="24"/>
          <w:szCs w:val="24"/>
        </w:rPr>
      </w:pPr>
      <w:bookmarkStart w:id="3" w:name="_Toc237334523"/>
      <w:r w:rsidRPr="00B143C1">
        <w:rPr>
          <w:rFonts w:ascii="Arial Narrow" w:hAnsi="Arial Narrow"/>
          <w:sz w:val="24"/>
          <w:szCs w:val="24"/>
        </w:rPr>
        <w:lastRenderedPageBreak/>
        <w:t>2.1.2. Pour la Phase 2</w:t>
      </w:r>
      <w:bookmarkEnd w:id="3"/>
    </w:p>
    <w:p w:rsidR="00626BB0" w:rsidRPr="00B143C1" w:rsidRDefault="00626BB0" w:rsidP="00626BB0">
      <w:pPr>
        <w:spacing w:line="480" w:lineRule="auto"/>
        <w:rPr>
          <w:rFonts w:ascii="Arial Narrow" w:hAnsi="Arial Narrow"/>
          <w:i/>
        </w:rPr>
      </w:pPr>
      <w:r w:rsidRPr="00B143C1">
        <w:rPr>
          <w:rFonts w:ascii="Arial Narrow" w:hAnsi="Arial Narrow"/>
          <w:b/>
          <w:shadow/>
          <w:color w:val="17365D"/>
        </w:rPr>
        <w:t>Article 26</w:t>
      </w:r>
      <w:bookmarkStart w:id="4" w:name="_Toc97718905"/>
      <w:bookmarkStart w:id="5" w:name="_Toc97719009"/>
      <w:bookmarkStart w:id="6" w:name="_Toc98223699"/>
      <w:bookmarkStart w:id="7" w:name="_Toc98223888"/>
      <w:bookmarkStart w:id="8" w:name="_Toc98237547"/>
      <w:bookmarkStart w:id="9" w:name="_Toc98313157"/>
      <w:bookmarkStart w:id="10" w:name="_Toc98315456"/>
      <w:bookmarkStart w:id="11" w:name="_Toc101668192"/>
      <w:bookmarkStart w:id="12" w:name="_Toc101671632"/>
      <w:bookmarkStart w:id="13" w:name="_Toc101671992"/>
      <w:bookmarkStart w:id="14" w:name="_Toc101672860"/>
      <w:bookmarkStart w:id="15" w:name="_Toc101672994"/>
      <w:r w:rsidRPr="00B143C1">
        <w:rPr>
          <w:rFonts w:ascii="Arial Narrow" w:hAnsi="Arial Narrow"/>
          <w:bCs/>
        </w:rPr>
        <w:t xml:space="preserve"> </w:t>
      </w:r>
      <w:bookmarkEnd w:id="4"/>
      <w:bookmarkEnd w:id="5"/>
      <w:bookmarkEnd w:id="6"/>
      <w:bookmarkEnd w:id="7"/>
      <w:bookmarkEnd w:id="8"/>
      <w:bookmarkEnd w:id="9"/>
      <w:bookmarkEnd w:id="10"/>
      <w:bookmarkEnd w:id="11"/>
      <w:bookmarkEnd w:id="12"/>
      <w:bookmarkEnd w:id="13"/>
      <w:bookmarkEnd w:id="14"/>
      <w:bookmarkEnd w:id="15"/>
      <w:r w:rsidRPr="00B143C1">
        <w:rPr>
          <w:rFonts w:ascii="Arial Narrow" w:hAnsi="Arial Narrow"/>
          <w:bCs/>
        </w:rPr>
        <w:t>– «</w:t>
      </w:r>
      <w:r w:rsidRPr="00B143C1">
        <w:rPr>
          <w:rFonts w:ascii="Arial Narrow" w:hAnsi="Arial Narrow"/>
          <w:i/>
        </w:rPr>
        <w:t>Les travaux de mise en conformité des ouvrages avec les dispositions législatives ou réglementaires, à caractère technique et/ou administratif, qui seraient publiées postérieurement à la date de signature de la présente convention ou dont la survenance ne pouvait être prévisible par le Délégataire à cette même date en sa qualité de professionnel, sont financés et réalisés par le Délégataire, dans le respect de la réglementation des avenants. Ces travaux feront l’objet d’avenants précisant leur nature, leur coût, leurs modalités de réalisation, ainsi que les nouvelles conditions de rémunération du Délégataire afin de prendre en compte les incidences financières de ces travaux, tant en investissement qu’en fonctionnement».</w:t>
      </w:r>
    </w:p>
    <w:p w:rsidR="00626BB0" w:rsidRPr="00B143C1" w:rsidRDefault="00626BB0" w:rsidP="00626BB0">
      <w:pPr>
        <w:spacing w:line="480" w:lineRule="auto"/>
        <w:rPr>
          <w:rFonts w:ascii="Arial Narrow" w:hAnsi="Arial Narrow"/>
          <w:i/>
        </w:rPr>
      </w:pPr>
      <w:r w:rsidRPr="00B143C1">
        <w:rPr>
          <w:rFonts w:ascii="Arial Narrow" w:hAnsi="Arial Narrow"/>
          <w:b/>
          <w:shadow/>
          <w:color w:val="17365D"/>
        </w:rPr>
        <w:t>Article 39</w:t>
      </w:r>
      <w:r w:rsidRPr="00B143C1">
        <w:rPr>
          <w:rFonts w:ascii="Arial Narrow" w:hAnsi="Arial Narrow"/>
        </w:rPr>
        <w:t xml:space="preserve"> – «</w:t>
      </w:r>
      <w:r w:rsidRPr="00B143C1">
        <w:rPr>
          <w:rFonts w:ascii="Arial Narrow" w:hAnsi="Arial Narrow"/>
          <w:i/>
        </w:rPr>
        <w:t>Une révision de la rémunération du Délégataire à la hausse ou à la baisse pourra avoir lieu dans les cas suivants :… 2) en cas d’évolution de la réglementation notamment en matière d’environnement qui entraînerait la nécessité de procéder à d’importants travaux de mise en conformité et à une modification significative des conditions d’exploitation… </w:t>
      </w:r>
    </w:p>
    <w:p w:rsidR="00626BB0" w:rsidRPr="00B143C1" w:rsidRDefault="00626BB0" w:rsidP="00626BB0">
      <w:pPr>
        <w:spacing w:line="480" w:lineRule="auto"/>
        <w:rPr>
          <w:rFonts w:ascii="Arial Narrow" w:hAnsi="Arial Narrow"/>
          <w:i/>
        </w:rPr>
      </w:pPr>
      <w:r w:rsidRPr="00B143C1">
        <w:rPr>
          <w:rFonts w:ascii="Arial Narrow" w:hAnsi="Arial Narrow"/>
          <w:i/>
        </w:rPr>
        <w:t>L’accord entre les parties sur le principe et les modalités de la révision doit faire l’objet d’un avenant à la présente convention…».</w:t>
      </w:r>
    </w:p>
    <w:p w:rsidR="00626BB0" w:rsidRPr="00B143C1" w:rsidRDefault="00626BB0" w:rsidP="00626BB0">
      <w:pPr>
        <w:pStyle w:val="Titre3"/>
        <w:numPr>
          <w:ilvl w:val="0"/>
          <w:numId w:val="0"/>
        </w:numPr>
        <w:spacing w:line="480" w:lineRule="auto"/>
        <w:ind w:left="900"/>
      </w:pPr>
      <w:bookmarkStart w:id="16" w:name="_Toc237334524"/>
      <w:r w:rsidRPr="00B143C1">
        <w:t>2.2. Extraits des annexes de la Convention de délégation et extrait de l’APS</w:t>
      </w:r>
      <w:bookmarkEnd w:id="16"/>
    </w:p>
    <w:p w:rsidR="00626BB0" w:rsidRPr="00B143C1" w:rsidRDefault="00626BB0" w:rsidP="00626BB0">
      <w:pPr>
        <w:spacing w:line="480" w:lineRule="auto"/>
        <w:rPr>
          <w:rFonts w:ascii="Arial Narrow" w:hAnsi="Arial Narrow"/>
        </w:rPr>
      </w:pPr>
      <w:r w:rsidRPr="00B143C1">
        <w:rPr>
          <w:rFonts w:ascii="Arial Narrow" w:hAnsi="Arial Narrow"/>
        </w:rPr>
        <w:t>Pour justifier la partie technique et financière du Projet prévue dans la Convention de délégation, nous nous sommes basés sur les annexes de la Convention de délégation.</w:t>
      </w:r>
    </w:p>
    <w:p w:rsidR="00626BB0" w:rsidRPr="00B143C1" w:rsidRDefault="00626BB0" w:rsidP="00626BB0">
      <w:pPr>
        <w:spacing w:line="480" w:lineRule="auto"/>
        <w:rPr>
          <w:rFonts w:ascii="Arial Narrow" w:hAnsi="Arial Narrow"/>
        </w:rPr>
      </w:pPr>
      <w:r w:rsidRPr="00B143C1">
        <w:rPr>
          <w:rFonts w:ascii="Arial Narrow" w:hAnsi="Arial Narrow"/>
        </w:rPr>
        <w:lastRenderedPageBreak/>
        <w:t>De plus, nous faisons également référence, pour la partie technique, à l’</w:t>
      </w:r>
      <w:r w:rsidRPr="00B143C1">
        <w:rPr>
          <w:rFonts w:ascii="Arial Narrow" w:hAnsi="Arial Narrow"/>
          <w:b/>
          <w:color w:val="17365D"/>
        </w:rPr>
        <w:t>APS</w:t>
      </w:r>
      <w:r w:rsidRPr="00B143C1">
        <w:rPr>
          <w:rFonts w:ascii="Arial Narrow" w:hAnsi="Arial Narrow"/>
        </w:rPr>
        <w:t xml:space="preserve"> (</w:t>
      </w:r>
      <w:r w:rsidRPr="00B143C1">
        <w:rPr>
          <w:rFonts w:ascii="Arial Narrow" w:hAnsi="Arial Narrow"/>
          <w:b/>
          <w:color w:val="17365D"/>
        </w:rPr>
        <w:t>A</w:t>
      </w:r>
      <w:r w:rsidRPr="00B143C1">
        <w:rPr>
          <w:rFonts w:ascii="Arial Narrow" w:hAnsi="Arial Narrow"/>
        </w:rPr>
        <w:t xml:space="preserve">vant </w:t>
      </w:r>
      <w:r w:rsidRPr="00B143C1">
        <w:rPr>
          <w:rFonts w:ascii="Arial Narrow" w:hAnsi="Arial Narrow"/>
          <w:b/>
          <w:color w:val="17365D"/>
        </w:rPr>
        <w:t>P</w:t>
      </w:r>
      <w:r w:rsidRPr="00B143C1">
        <w:rPr>
          <w:rFonts w:ascii="Arial Narrow" w:hAnsi="Arial Narrow"/>
        </w:rPr>
        <w:t xml:space="preserve">rojet </w:t>
      </w:r>
      <w:r w:rsidRPr="00B143C1">
        <w:rPr>
          <w:rFonts w:ascii="Arial Narrow" w:hAnsi="Arial Narrow"/>
          <w:b/>
          <w:color w:val="17365D"/>
        </w:rPr>
        <w:t>S</w:t>
      </w:r>
      <w:r>
        <w:rPr>
          <w:rFonts w:ascii="Arial Narrow" w:hAnsi="Arial Narrow"/>
        </w:rPr>
        <w:t xml:space="preserve">ommaire), qui a été fourni par EveRé conformément à l’article 3.3.1. </w:t>
      </w:r>
      <w:proofErr w:type="gramStart"/>
      <w:r>
        <w:rPr>
          <w:rFonts w:ascii="Arial Narrow" w:hAnsi="Arial Narrow"/>
        </w:rPr>
        <w:t>de</w:t>
      </w:r>
      <w:proofErr w:type="gramEnd"/>
      <w:r>
        <w:rPr>
          <w:rFonts w:ascii="Arial Narrow" w:hAnsi="Arial Narrow"/>
        </w:rPr>
        <w:t xml:space="preserve"> l’Annexe A7 de la DSP, </w:t>
      </w:r>
      <w:r w:rsidRPr="00B143C1">
        <w:rPr>
          <w:rFonts w:ascii="Arial Narrow" w:hAnsi="Arial Narrow"/>
        </w:rPr>
        <w:t>qui est exactement conforme à l’Offre de la DSP et techniquement beaucoup plus détaillé que la DSP</w:t>
      </w:r>
      <w:r>
        <w:rPr>
          <w:rFonts w:ascii="Arial Narrow" w:hAnsi="Arial Narrow"/>
        </w:rPr>
        <w:t xml:space="preserve"> (tel que précisé dans le compte-rendu du Cabinet Merlin</w:t>
      </w:r>
      <w:r w:rsidRPr="00B143C1">
        <w:rPr>
          <w:rFonts w:ascii="Arial Narrow" w:hAnsi="Arial Narrow"/>
        </w:rPr>
        <w:t xml:space="preserve">. Son objectif est une remise à niveau de l’Offre intégrant toutes les modifications apportées pendant la négociation de manière à avoir un document technique de référence et qui a été validé par le Cabinet Merlin et MPM (cf. comptes-rendus MER SIT CR 0 007 et MER SIT CR 0 017 en </w:t>
      </w:r>
      <w:fldSimple w:instr=" REF _Ref235935529 \h  \* MERGEFORMAT ">
        <w:r w:rsidRPr="001E4437">
          <w:rPr>
            <w:rFonts w:ascii="Arial Narrow" w:hAnsi="Arial Narrow"/>
            <w:b/>
            <w:color w:val="17365D"/>
          </w:rPr>
          <w:t>Annexe 1</w:t>
        </w:r>
      </w:fldSimple>
      <w:r w:rsidRPr="00B143C1">
        <w:rPr>
          <w:rFonts w:ascii="Arial Narrow" w:hAnsi="Arial Narrow"/>
        </w:rPr>
        <w:t>,</w:t>
      </w:r>
      <w:r w:rsidRPr="00B143C1">
        <w:rPr>
          <w:rFonts w:ascii="Arial Narrow" w:hAnsi="Arial Narrow"/>
          <w:b/>
        </w:rPr>
        <w:t xml:space="preserve"> </w:t>
      </w:r>
      <w:fldSimple w:instr=" REF _Ref235935534 \h  \* MERGEFORMAT ">
        <w:r w:rsidRPr="001E4437">
          <w:rPr>
            <w:rFonts w:ascii="Arial Narrow" w:hAnsi="Arial Narrow"/>
            <w:b/>
            <w:shadow/>
            <w:color w:val="17365D"/>
          </w:rPr>
          <w:t>TOME A</w:t>
        </w:r>
      </w:fldSimple>
      <w:r w:rsidR="00816469">
        <w:rPr>
          <w:rFonts w:ascii="Arial Narrow" w:hAnsi="Arial Narrow"/>
          <w:b/>
        </w:rPr>
        <w:t xml:space="preserve"> d</w:t>
      </w:r>
      <w:r w:rsidR="009C4659">
        <w:rPr>
          <w:rFonts w:ascii="Arial Narrow" w:hAnsi="Arial Narrow"/>
          <w:b/>
        </w:rPr>
        <w:t>e</w:t>
      </w:r>
      <w:r w:rsidR="00816469">
        <w:rPr>
          <w:rFonts w:ascii="Arial Narrow" w:hAnsi="Arial Narrow"/>
          <w:b/>
        </w:rPr>
        <w:t xml:space="preserve"> Dossier Technico </w:t>
      </w:r>
      <w:r w:rsidR="009C4659">
        <w:rPr>
          <w:rFonts w:ascii="Arial Narrow" w:hAnsi="Arial Narrow"/>
          <w:b/>
        </w:rPr>
        <w:t xml:space="preserve">et </w:t>
      </w:r>
      <w:r w:rsidR="00816469">
        <w:rPr>
          <w:rFonts w:ascii="Arial Narrow" w:hAnsi="Arial Narrow"/>
          <w:b/>
        </w:rPr>
        <w:t xml:space="preserve">Financière </w:t>
      </w:r>
      <w:r w:rsidR="009C4659">
        <w:rPr>
          <w:rFonts w:ascii="Arial Narrow" w:hAnsi="Arial Narrow"/>
          <w:b/>
        </w:rPr>
        <w:t xml:space="preserve">Phase 1 et Phase </w:t>
      </w:r>
      <w:proofErr w:type="gramStart"/>
      <w:r w:rsidR="009C4659">
        <w:rPr>
          <w:rFonts w:ascii="Arial Narrow" w:hAnsi="Arial Narrow"/>
          <w:b/>
        </w:rPr>
        <w:t>2</w:t>
      </w:r>
      <w:r w:rsidR="00816469">
        <w:rPr>
          <w:rFonts w:ascii="Arial Narrow" w:hAnsi="Arial Narrow"/>
          <w:b/>
        </w:rPr>
        <w:t xml:space="preserve"> </w:t>
      </w:r>
      <w:r w:rsidRPr="00B143C1">
        <w:rPr>
          <w:rFonts w:ascii="Arial Narrow" w:hAnsi="Arial Narrow"/>
        </w:rPr>
        <w:t>)</w:t>
      </w:r>
      <w:proofErr w:type="gramEnd"/>
      <w:r w:rsidRPr="00B143C1">
        <w:rPr>
          <w:rFonts w:ascii="Arial Narrow" w:hAnsi="Arial Narrow"/>
        </w:rPr>
        <w:t xml:space="preserve">. Nous </w:t>
      </w:r>
      <w:r w:rsidR="00816469">
        <w:rPr>
          <w:rFonts w:ascii="Arial Narrow" w:hAnsi="Arial Narrow"/>
        </w:rPr>
        <w:t xml:space="preserve">avons rajouté </w:t>
      </w:r>
      <w:r w:rsidRPr="00B143C1">
        <w:rPr>
          <w:rFonts w:ascii="Arial Narrow" w:hAnsi="Arial Narrow"/>
        </w:rPr>
        <w:t>aussi une copie de l’</w:t>
      </w:r>
      <w:r w:rsidRPr="00B143C1">
        <w:rPr>
          <w:rFonts w:ascii="Arial Narrow" w:hAnsi="Arial Narrow"/>
          <w:b/>
          <w:color w:val="17365D"/>
        </w:rPr>
        <w:t>APS</w:t>
      </w:r>
      <w:r w:rsidRPr="00B143C1">
        <w:rPr>
          <w:rFonts w:ascii="Arial Narrow" w:hAnsi="Arial Narrow"/>
        </w:rPr>
        <w:t>, référence EVE SIT DG 0 22 C, et le visa émis par le Cabinet Merlin validant l’</w:t>
      </w:r>
      <w:r w:rsidRPr="00B143C1">
        <w:rPr>
          <w:rFonts w:ascii="Arial Narrow" w:hAnsi="Arial Narrow"/>
          <w:b/>
          <w:color w:val="17365D"/>
        </w:rPr>
        <w:t xml:space="preserve">APS  </w:t>
      </w:r>
      <w:r w:rsidRPr="00B143C1">
        <w:rPr>
          <w:rFonts w:ascii="Arial Narrow" w:hAnsi="Arial Narrow"/>
        </w:rPr>
        <w:t>(voir</w:t>
      </w:r>
      <w:r w:rsidRPr="00B143C1">
        <w:rPr>
          <w:rFonts w:ascii="Arial Narrow" w:hAnsi="Arial Narrow"/>
          <w:b/>
          <w:color w:val="17365D"/>
        </w:rPr>
        <w:t xml:space="preserve"> Annexe 1</w:t>
      </w:r>
      <w:r w:rsidRPr="00B143C1">
        <w:rPr>
          <w:rFonts w:ascii="Arial Narrow" w:hAnsi="Arial Narrow"/>
        </w:rPr>
        <w:t xml:space="preserve">, </w:t>
      </w:r>
      <w:r w:rsidRPr="00B143C1">
        <w:rPr>
          <w:rFonts w:ascii="Arial Narrow" w:hAnsi="Arial Narrow"/>
          <w:b/>
          <w:color w:val="17365D"/>
        </w:rPr>
        <w:t>TOME A</w:t>
      </w:r>
      <w:r w:rsidR="00816469">
        <w:rPr>
          <w:rFonts w:ascii="Arial Narrow" w:hAnsi="Arial Narrow"/>
          <w:b/>
          <w:color w:val="17365D"/>
        </w:rPr>
        <w:t xml:space="preserve"> de </w:t>
      </w:r>
      <w:r w:rsidR="009C4659">
        <w:rPr>
          <w:rFonts w:ascii="Arial Narrow" w:hAnsi="Arial Narrow"/>
          <w:b/>
        </w:rPr>
        <w:t>Dossier Technico et Financière Phase 1 et Phase 2</w:t>
      </w:r>
      <w:r w:rsidRPr="00B143C1">
        <w:rPr>
          <w:rFonts w:ascii="Arial Narrow" w:hAnsi="Arial Narrow"/>
        </w:rPr>
        <w:t xml:space="preserve">). </w:t>
      </w:r>
    </w:p>
    <w:p w:rsidR="00626BB0" w:rsidRPr="00B143C1" w:rsidRDefault="00626BB0" w:rsidP="00626BB0">
      <w:pPr>
        <w:spacing w:line="480" w:lineRule="auto"/>
        <w:rPr>
          <w:rFonts w:ascii="Arial Narrow" w:hAnsi="Arial Narrow"/>
        </w:rPr>
      </w:pPr>
      <w:r w:rsidRPr="00B143C1">
        <w:rPr>
          <w:rFonts w:ascii="Arial Narrow" w:hAnsi="Arial Narrow"/>
        </w:rPr>
        <w:t xml:space="preserve">Pour ces raisons, le document </w:t>
      </w:r>
      <w:r w:rsidRPr="00B143C1">
        <w:rPr>
          <w:rFonts w:ascii="Arial Narrow" w:hAnsi="Arial Narrow"/>
          <w:b/>
          <w:color w:val="17365D"/>
        </w:rPr>
        <w:t>APS</w:t>
      </w:r>
      <w:r w:rsidRPr="00B143C1">
        <w:rPr>
          <w:rFonts w:ascii="Arial Narrow" w:hAnsi="Arial Narrow"/>
        </w:rPr>
        <w:t xml:space="preserve"> est le document de base pour établir la comparaison entre le Projet initial du contrat et le Projet réellement réalisé.</w:t>
      </w:r>
    </w:p>
    <w:p w:rsidR="00626BB0" w:rsidRPr="00B143C1" w:rsidRDefault="00626BB0" w:rsidP="00626BB0">
      <w:pPr>
        <w:spacing w:line="480" w:lineRule="auto"/>
        <w:rPr>
          <w:rFonts w:ascii="Arial Narrow" w:hAnsi="Arial Narrow"/>
          <w:i/>
        </w:rPr>
      </w:pPr>
      <w:r w:rsidRPr="00B143C1">
        <w:rPr>
          <w:rFonts w:ascii="Arial Narrow" w:hAnsi="Arial Narrow"/>
        </w:rPr>
        <w:t>Pour chaque point abordé dans ce dossier et faisant appel au contrat initial, un extrait de la DSP et de l’</w:t>
      </w:r>
      <w:r w:rsidRPr="00B143C1">
        <w:rPr>
          <w:rFonts w:ascii="Arial Narrow" w:hAnsi="Arial Narrow"/>
          <w:b/>
          <w:color w:val="17365D"/>
        </w:rPr>
        <w:t>APS</w:t>
      </w:r>
      <w:r w:rsidRPr="00B143C1">
        <w:rPr>
          <w:rFonts w:ascii="Arial Narrow" w:hAnsi="Arial Narrow"/>
        </w:rPr>
        <w:t xml:space="preserve"> (pour la partie technique) est ajouté en annexe comme justificatif du contrat de la DSP.</w:t>
      </w:r>
    </w:p>
    <w:p w:rsidR="00626BB0" w:rsidRPr="00B143C1" w:rsidRDefault="00626BB0" w:rsidP="00626BB0">
      <w:pPr>
        <w:spacing w:line="480" w:lineRule="auto"/>
        <w:rPr>
          <w:rFonts w:ascii="Arial Narrow" w:hAnsi="Arial Narrow"/>
          <w:i/>
        </w:rPr>
      </w:pPr>
    </w:p>
    <w:p w:rsidR="009C4659" w:rsidRDefault="00626BB0" w:rsidP="00626BB0">
      <w:pPr>
        <w:spacing w:line="480" w:lineRule="auto"/>
        <w:rPr>
          <w:rFonts w:ascii="Arial Narrow" w:hAnsi="Arial Narrow"/>
        </w:rPr>
      </w:pPr>
      <w:r w:rsidRPr="00B143C1">
        <w:rPr>
          <w:rFonts w:ascii="Arial Narrow" w:hAnsi="Arial Narrow"/>
        </w:rPr>
        <w:t xml:space="preserve">Pour une meilleure compréhension et utilisation </w:t>
      </w:r>
      <w:r w:rsidR="009C4659">
        <w:rPr>
          <w:rFonts w:ascii="Arial Narrow" w:hAnsi="Arial Narrow"/>
        </w:rPr>
        <w:t>de ce dossier</w:t>
      </w:r>
      <w:r w:rsidRPr="00B143C1">
        <w:rPr>
          <w:rFonts w:ascii="Arial Narrow" w:hAnsi="Arial Narrow"/>
        </w:rPr>
        <w:t>, EveRé a suivi, dans la mesure du possible, l’ordre établi dans notre</w:t>
      </w:r>
      <w:r w:rsidR="009C4659" w:rsidRPr="009C4659">
        <w:rPr>
          <w:rFonts w:ascii="Arial Narrow" w:hAnsi="Arial Narrow"/>
          <w:b/>
        </w:rPr>
        <w:t xml:space="preserve"> </w:t>
      </w:r>
      <w:r w:rsidR="009C4659">
        <w:rPr>
          <w:rFonts w:ascii="Arial Narrow" w:hAnsi="Arial Narrow"/>
          <w:b/>
        </w:rPr>
        <w:t xml:space="preserve">Dossier Technico et Financière Phase 1 et Phase 2 </w:t>
      </w:r>
      <w:r w:rsidR="009C4659" w:rsidRPr="009C4659">
        <w:rPr>
          <w:rFonts w:ascii="Arial Narrow" w:hAnsi="Arial Narrow"/>
        </w:rPr>
        <w:t xml:space="preserve">que était base a son tour sur la </w:t>
      </w:r>
      <w:r w:rsidR="009C4659">
        <w:rPr>
          <w:rFonts w:ascii="Arial Narrow" w:hAnsi="Arial Narrow"/>
        </w:rPr>
        <w:t>P</w:t>
      </w:r>
      <w:r w:rsidRPr="009C4659">
        <w:rPr>
          <w:rFonts w:ascii="Arial Narrow" w:hAnsi="Arial Narrow"/>
        </w:rPr>
        <w:t>roposition d’Avenant en date du 18 août 2008</w:t>
      </w:r>
      <w:r w:rsidRPr="00B143C1">
        <w:rPr>
          <w:rFonts w:ascii="Arial Narrow" w:hAnsi="Arial Narrow"/>
        </w:rPr>
        <w:t xml:space="preserve"> (</w:t>
      </w:r>
      <w:r w:rsidRPr="00B143C1">
        <w:rPr>
          <w:rFonts w:ascii="Arial Narrow" w:hAnsi="Arial Narrow"/>
          <w:b/>
          <w:color w:val="215868"/>
        </w:rPr>
        <w:t>Annexe I du Dossier Retards phase 1</w:t>
      </w:r>
      <w:r w:rsidRPr="00B143C1">
        <w:rPr>
          <w:rFonts w:ascii="Arial Narrow" w:hAnsi="Arial Narrow"/>
        </w:rPr>
        <w:t xml:space="preserve">), adapté de façon que chaque point abordé corresponde à un thème ayant une seule cause et/ou origine. </w:t>
      </w:r>
    </w:p>
    <w:p w:rsidR="00B02720" w:rsidRDefault="00DE0864" w:rsidP="00626BB0">
      <w:pPr>
        <w:spacing w:line="480" w:lineRule="auto"/>
        <w:rPr>
          <w:rFonts w:ascii="Arial Narrow" w:hAnsi="Arial Narrow"/>
        </w:rPr>
      </w:pPr>
      <w:r>
        <w:rPr>
          <w:rFonts w:ascii="Arial Narrow" w:hAnsi="Arial Narrow"/>
        </w:rPr>
        <w:t>En date 7 de décembre</w:t>
      </w:r>
      <w:r w:rsidR="005757E3">
        <w:rPr>
          <w:rFonts w:ascii="Arial Narrow" w:hAnsi="Arial Narrow"/>
        </w:rPr>
        <w:t xml:space="preserve"> de 2009</w:t>
      </w:r>
      <w:r>
        <w:rPr>
          <w:rFonts w:ascii="Arial Narrow" w:hAnsi="Arial Narrow"/>
        </w:rPr>
        <w:t xml:space="preserve"> </w:t>
      </w:r>
      <w:r w:rsidR="00B02720">
        <w:rPr>
          <w:rFonts w:ascii="Arial Narrow" w:hAnsi="Arial Narrow"/>
        </w:rPr>
        <w:t>le Tribunal Administrative de Marseille</w:t>
      </w:r>
      <w:r>
        <w:rPr>
          <w:rFonts w:ascii="Arial Narrow" w:hAnsi="Arial Narrow"/>
        </w:rPr>
        <w:t xml:space="preserve"> a nommé par ordonnance comme Expert a </w:t>
      </w:r>
      <w:proofErr w:type="spellStart"/>
      <w:r>
        <w:rPr>
          <w:rFonts w:ascii="Arial Narrow" w:hAnsi="Arial Narrow"/>
        </w:rPr>
        <w:t>M.Michel</w:t>
      </w:r>
      <w:proofErr w:type="spellEnd"/>
      <w:r>
        <w:rPr>
          <w:rFonts w:ascii="Arial Narrow" w:hAnsi="Arial Narrow"/>
        </w:rPr>
        <w:t xml:space="preserve"> </w:t>
      </w:r>
      <w:proofErr w:type="spellStart"/>
      <w:r>
        <w:rPr>
          <w:rFonts w:ascii="Arial Narrow" w:hAnsi="Arial Narrow"/>
        </w:rPr>
        <w:t>Bonifay</w:t>
      </w:r>
      <w:proofErr w:type="spellEnd"/>
      <w:r>
        <w:rPr>
          <w:rFonts w:ascii="Arial Narrow" w:hAnsi="Arial Narrow"/>
        </w:rPr>
        <w:t xml:space="preserve"> pour étudier </w:t>
      </w:r>
      <w:r w:rsidR="005757E3">
        <w:rPr>
          <w:rFonts w:ascii="Arial Narrow" w:hAnsi="Arial Narrow"/>
        </w:rPr>
        <w:t xml:space="preserve">le préjudice contenu dans le </w:t>
      </w:r>
      <w:r w:rsidR="005757E3">
        <w:rPr>
          <w:rFonts w:ascii="Arial Narrow" w:hAnsi="Arial Narrow"/>
          <w:b/>
        </w:rPr>
        <w:t>Dossier Technico et Financière Phase 1 et Phase 2  (</w:t>
      </w:r>
      <w:r w:rsidR="005757E3" w:rsidRPr="005757E3">
        <w:rPr>
          <w:rFonts w:ascii="Arial Narrow" w:hAnsi="Arial Narrow"/>
        </w:rPr>
        <w:t>Annexe XX)</w:t>
      </w:r>
    </w:p>
    <w:p w:rsidR="00DE0864" w:rsidRDefault="00DE0864" w:rsidP="00626BB0">
      <w:pPr>
        <w:spacing w:line="480" w:lineRule="auto"/>
        <w:rPr>
          <w:rFonts w:ascii="Arial Narrow" w:hAnsi="Arial Narrow"/>
        </w:rPr>
      </w:pPr>
      <w:r>
        <w:rPr>
          <w:rFonts w:ascii="Arial Narrow" w:hAnsi="Arial Narrow"/>
        </w:rPr>
        <w:lastRenderedPageBreak/>
        <w:t>Le présen</w:t>
      </w:r>
      <w:r w:rsidR="005757E3">
        <w:rPr>
          <w:rFonts w:ascii="Arial Narrow" w:hAnsi="Arial Narrow"/>
        </w:rPr>
        <w:t>t dossier tient en compte les observations</w:t>
      </w:r>
      <w:r>
        <w:rPr>
          <w:rFonts w:ascii="Arial Narrow" w:hAnsi="Arial Narrow"/>
        </w:rPr>
        <w:t xml:space="preserve"> faites par</w:t>
      </w:r>
      <w:r w:rsidR="005757E3">
        <w:rPr>
          <w:rFonts w:ascii="Arial Narrow" w:hAnsi="Arial Narrow"/>
        </w:rPr>
        <w:t xml:space="preserve"> l’Expert a travers de Notes dirigés aux Parties et notamment la dernière en date 30 de octobre 2010 </w:t>
      </w:r>
      <w:proofErr w:type="gramStart"/>
      <w:r w:rsidR="005757E3">
        <w:rPr>
          <w:rFonts w:ascii="Arial Narrow" w:hAnsi="Arial Narrow"/>
        </w:rPr>
        <w:t>( Annexe</w:t>
      </w:r>
      <w:proofErr w:type="gramEnd"/>
      <w:r w:rsidR="005757E3">
        <w:rPr>
          <w:rFonts w:ascii="Arial Narrow" w:hAnsi="Arial Narrow"/>
        </w:rPr>
        <w:t xml:space="preserve"> XX).</w:t>
      </w:r>
    </w:p>
    <w:p w:rsidR="00626BB0" w:rsidRPr="00B143C1" w:rsidRDefault="00B02720" w:rsidP="00626BB0">
      <w:pPr>
        <w:spacing w:line="480" w:lineRule="auto"/>
        <w:rPr>
          <w:rFonts w:ascii="Arial Narrow" w:hAnsi="Arial Narrow"/>
        </w:rPr>
      </w:pPr>
      <w:r>
        <w:rPr>
          <w:rFonts w:ascii="Arial Narrow" w:hAnsi="Arial Narrow"/>
        </w:rPr>
        <w:t>Pour cette raison</w:t>
      </w:r>
      <w:r w:rsidR="005757E3">
        <w:rPr>
          <w:rFonts w:ascii="Arial Narrow" w:hAnsi="Arial Narrow"/>
        </w:rPr>
        <w:t xml:space="preserve"> ch</w:t>
      </w:r>
      <w:r w:rsidR="00626BB0" w:rsidRPr="00B143C1">
        <w:rPr>
          <w:rFonts w:ascii="Arial Narrow" w:hAnsi="Arial Narrow"/>
        </w:rPr>
        <w:t>aque point abordé intègre tous les changements propres (d’un point de vue Génie Civil, Équipements et Prestations) ainsi que les conséquences sur les autres parties du Projet quand elles existent.</w:t>
      </w:r>
    </w:p>
    <w:p w:rsidR="00626BB0" w:rsidRPr="00B143C1" w:rsidRDefault="005757E3" w:rsidP="009C4659">
      <w:pPr>
        <w:spacing w:line="480" w:lineRule="auto"/>
        <w:rPr>
          <w:rFonts w:ascii="Arial Narrow" w:hAnsi="Arial Narrow"/>
        </w:rPr>
      </w:pPr>
      <w:r>
        <w:rPr>
          <w:rFonts w:ascii="Arial Narrow" w:hAnsi="Arial Narrow"/>
        </w:rPr>
        <w:t xml:space="preserve">Pour cette raison aussi, </w:t>
      </w:r>
      <w:r w:rsidR="00626BB0" w:rsidRPr="00B143C1">
        <w:rPr>
          <w:rFonts w:ascii="Arial Narrow" w:hAnsi="Arial Narrow"/>
        </w:rPr>
        <w:t>Le Dossier actuel</w:t>
      </w:r>
      <w:r w:rsidR="009C4659">
        <w:rPr>
          <w:rFonts w:ascii="Arial Narrow" w:hAnsi="Arial Narrow"/>
        </w:rPr>
        <w:t xml:space="preserve"> a</w:t>
      </w:r>
      <w:r w:rsidR="009C4659" w:rsidRPr="009C4659">
        <w:rPr>
          <w:rFonts w:ascii="Arial Narrow" w:hAnsi="Arial Narrow"/>
          <w:b/>
        </w:rPr>
        <w:t xml:space="preserve"> </w:t>
      </w:r>
      <w:r w:rsidR="009C4659">
        <w:rPr>
          <w:rFonts w:ascii="Arial Narrow" w:hAnsi="Arial Narrow"/>
        </w:rPr>
        <w:t>différence du</w:t>
      </w:r>
      <w:r w:rsidR="009C4659" w:rsidRPr="00B143C1">
        <w:rPr>
          <w:rFonts w:ascii="Arial Narrow" w:hAnsi="Arial Narrow"/>
        </w:rPr>
        <w:t xml:space="preserve"> </w:t>
      </w:r>
      <w:r w:rsidR="009C4659">
        <w:rPr>
          <w:rFonts w:ascii="Arial Narrow" w:hAnsi="Arial Narrow"/>
          <w:b/>
        </w:rPr>
        <w:t>Dossier Technico et Financière Phase 1 et Phase 2</w:t>
      </w:r>
      <w:r w:rsidR="009C4659">
        <w:rPr>
          <w:rFonts w:ascii="Arial Narrow" w:hAnsi="Arial Narrow"/>
        </w:rPr>
        <w:t xml:space="preserve"> </w:t>
      </w:r>
      <w:r w:rsidR="00626BB0" w:rsidRPr="00B143C1">
        <w:rPr>
          <w:rFonts w:ascii="Arial Narrow" w:hAnsi="Arial Narrow"/>
        </w:rPr>
        <w:t xml:space="preserve">se présente </w:t>
      </w:r>
      <w:r w:rsidR="00B02720">
        <w:rPr>
          <w:rFonts w:ascii="Arial Narrow" w:hAnsi="Arial Narrow"/>
        </w:rPr>
        <w:t xml:space="preserve">par chapitres avec la </w:t>
      </w:r>
      <w:r w:rsidR="00626BB0" w:rsidRPr="00B143C1">
        <w:rPr>
          <w:rFonts w:ascii="Arial Narrow" w:hAnsi="Arial Narrow"/>
        </w:rPr>
        <w:t xml:space="preserve">justification technique </w:t>
      </w:r>
      <w:r w:rsidR="00B02720">
        <w:rPr>
          <w:rFonts w:ascii="Arial Narrow" w:hAnsi="Arial Narrow"/>
        </w:rPr>
        <w:t xml:space="preserve">et les </w:t>
      </w:r>
      <w:r w:rsidR="00B02720" w:rsidRPr="00B143C1">
        <w:rPr>
          <w:rFonts w:ascii="Arial Narrow" w:hAnsi="Arial Narrow"/>
        </w:rPr>
        <w:t xml:space="preserve">conséquences économiques </w:t>
      </w:r>
      <w:r w:rsidR="00B02720">
        <w:rPr>
          <w:rFonts w:ascii="Arial Narrow" w:hAnsi="Arial Narrow"/>
        </w:rPr>
        <w:t>ensemble dans</w:t>
      </w:r>
      <w:r w:rsidR="00626BB0" w:rsidRPr="00B143C1">
        <w:rPr>
          <w:rFonts w:ascii="Arial Narrow" w:hAnsi="Arial Narrow"/>
        </w:rPr>
        <w:t xml:space="preserve"> chaque chapitre abordé</w:t>
      </w:r>
      <w:r>
        <w:rPr>
          <w:rFonts w:ascii="Arial Narrow" w:hAnsi="Arial Narrow"/>
        </w:rPr>
        <w:t>.</w:t>
      </w:r>
      <w:r w:rsidR="00626BB0" w:rsidRPr="00B143C1">
        <w:rPr>
          <w:rFonts w:ascii="Arial Narrow" w:hAnsi="Arial Narrow"/>
        </w:rPr>
        <w:t xml:space="preserve"> </w:t>
      </w:r>
    </w:p>
    <w:p w:rsidR="00626BB0" w:rsidRPr="00B143C1" w:rsidRDefault="005757E3" w:rsidP="005757E3">
      <w:pPr>
        <w:spacing w:line="480" w:lineRule="auto"/>
        <w:rPr>
          <w:rFonts w:ascii="Arial Narrow" w:hAnsi="Arial Narrow"/>
        </w:rPr>
      </w:pPr>
      <w:r>
        <w:rPr>
          <w:rFonts w:ascii="Arial Narrow" w:hAnsi="Arial Narrow"/>
        </w:rPr>
        <w:t xml:space="preserve">Les </w:t>
      </w:r>
      <w:r w:rsidR="00626BB0" w:rsidRPr="00B143C1">
        <w:rPr>
          <w:rFonts w:ascii="Arial Narrow" w:hAnsi="Arial Narrow"/>
        </w:rPr>
        <w:t xml:space="preserve">conséquences économiques sur la </w:t>
      </w:r>
      <w:r w:rsidR="00626BB0" w:rsidRPr="00B143C1">
        <w:rPr>
          <w:rFonts w:ascii="Arial Narrow" w:hAnsi="Arial Narrow"/>
          <w:b/>
          <w:color w:val="17365D"/>
        </w:rPr>
        <w:t>Phase 2</w:t>
      </w:r>
      <w:r w:rsidR="00626BB0" w:rsidRPr="00B143C1">
        <w:rPr>
          <w:rFonts w:ascii="Arial Narrow" w:hAnsi="Arial Narrow"/>
        </w:rPr>
        <w:t xml:space="preserve"> (</w:t>
      </w:r>
      <w:r>
        <w:rPr>
          <w:rFonts w:ascii="Arial Narrow" w:hAnsi="Arial Narrow"/>
          <w:b/>
          <w:color w:val="17365D"/>
        </w:rPr>
        <w:t>point 17)</w:t>
      </w:r>
      <w:r w:rsidR="00626BB0" w:rsidRPr="00B143C1">
        <w:rPr>
          <w:rFonts w:ascii="Arial Narrow" w:hAnsi="Arial Narrow"/>
        </w:rPr>
        <w:t>) et qui doivent être prises en compte dans la nouvelle «</w:t>
      </w:r>
      <w:r w:rsidR="00626BB0" w:rsidRPr="00B143C1">
        <w:rPr>
          <w:rFonts w:ascii="Arial Narrow" w:hAnsi="Arial Narrow"/>
          <w:i/>
        </w:rPr>
        <w:t>redevance d’exploitation</w:t>
      </w:r>
      <w:r>
        <w:rPr>
          <w:rFonts w:ascii="Arial Narrow" w:hAnsi="Arial Narrow"/>
        </w:rPr>
        <w:t>» proposée en fin du Dossier.</w:t>
      </w:r>
    </w:p>
    <w:p w:rsidR="00626BB0" w:rsidRPr="00B143C1" w:rsidRDefault="00626BB0" w:rsidP="00626BB0">
      <w:pPr>
        <w:spacing w:line="480" w:lineRule="auto"/>
        <w:rPr>
          <w:rFonts w:ascii="Arial Narrow" w:hAnsi="Arial Narrow"/>
        </w:rPr>
      </w:pPr>
      <w:r w:rsidRPr="00B143C1">
        <w:rPr>
          <w:rFonts w:ascii="Arial Narrow" w:hAnsi="Arial Narrow"/>
        </w:rPr>
        <w:t>Les documents auxquels EveRé fait référence tout au long du présent Dossier apparaissent à la fin du Dossier (</w:t>
      </w:r>
      <w:r w:rsidRPr="00B143C1">
        <w:rPr>
          <w:rFonts w:ascii="Arial Narrow" w:hAnsi="Arial Narrow"/>
          <w:b/>
          <w:color w:val="17365D"/>
        </w:rPr>
        <w:t>Annexes</w:t>
      </w:r>
      <w:r w:rsidRPr="00B143C1">
        <w:rPr>
          <w:rFonts w:ascii="Arial Narrow" w:hAnsi="Arial Narrow"/>
        </w:rPr>
        <w:t xml:space="preserve">) classés pour chaque point par ordre d’apparition pour une meilleure utilisation du </w:t>
      </w:r>
      <w:r w:rsidR="005757E3" w:rsidRPr="00B143C1">
        <w:rPr>
          <w:rFonts w:ascii="Arial Narrow" w:hAnsi="Arial Narrow"/>
        </w:rPr>
        <w:t>Dossier.</w:t>
      </w:r>
    </w:p>
    <w:p w:rsidR="00626BB0" w:rsidRPr="00B143C1" w:rsidRDefault="00626BB0" w:rsidP="00626BB0">
      <w:pPr>
        <w:spacing w:line="480" w:lineRule="auto"/>
        <w:rPr>
          <w:rFonts w:ascii="Arial Narrow" w:hAnsi="Arial Narrow"/>
        </w:rPr>
      </w:pPr>
      <w:r w:rsidRPr="00B143C1">
        <w:rPr>
          <w:rFonts w:ascii="Arial Narrow" w:hAnsi="Arial Narrow"/>
        </w:rPr>
        <w:t xml:space="preserve">Les montants des surcoûts sont exprimés à valeur </w:t>
      </w:r>
      <w:r w:rsidR="00E91FAE">
        <w:rPr>
          <w:rFonts w:ascii="Arial Narrow" w:hAnsi="Arial Narrow"/>
        </w:rPr>
        <w:t xml:space="preserve">courant, cet a dire, le valeur correspondant aux mois dans lesquelles le </w:t>
      </w:r>
      <w:proofErr w:type="spellStart"/>
      <w:r w:rsidR="00E91FAE">
        <w:rPr>
          <w:rFonts w:ascii="Arial Narrow" w:hAnsi="Arial Narrow"/>
        </w:rPr>
        <w:t>Delegataire</w:t>
      </w:r>
      <w:proofErr w:type="spellEnd"/>
      <w:r w:rsidR="00E91FAE">
        <w:rPr>
          <w:rFonts w:ascii="Arial Narrow" w:hAnsi="Arial Narrow"/>
        </w:rPr>
        <w:t xml:space="preserve"> a dépensé les montants </w:t>
      </w:r>
      <w:proofErr w:type="gramStart"/>
      <w:r w:rsidR="00E91FAE">
        <w:rPr>
          <w:rFonts w:ascii="Arial Narrow" w:hAnsi="Arial Narrow"/>
        </w:rPr>
        <w:t>réclamés </w:t>
      </w:r>
      <w:r w:rsidRPr="00B143C1">
        <w:rPr>
          <w:rFonts w:ascii="Arial Narrow" w:hAnsi="Arial Narrow"/>
        </w:rPr>
        <w:t>.</w:t>
      </w:r>
      <w:proofErr w:type="gramEnd"/>
      <w:r w:rsidRPr="00B143C1">
        <w:rPr>
          <w:rFonts w:ascii="Arial Narrow" w:hAnsi="Arial Narrow"/>
        </w:rPr>
        <w:t xml:space="preserve"> Les «</w:t>
      </w:r>
      <w:r w:rsidRPr="00B143C1">
        <w:rPr>
          <w:rFonts w:ascii="Arial Narrow" w:hAnsi="Arial Narrow"/>
          <w:i/>
        </w:rPr>
        <w:t>postes</w:t>
      </w:r>
      <w:r w:rsidRPr="00B143C1">
        <w:rPr>
          <w:rFonts w:ascii="Arial Narrow" w:hAnsi="Arial Narrow"/>
        </w:rPr>
        <w:t xml:space="preserve">» objets du présent Dossier sont ceux dont la réalisation était engagée par EveRé </w:t>
      </w:r>
      <w:proofErr w:type="gramStart"/>
      <w:r w:rsidR="00E91FAE">
        <w:rPr>
          <w:rFonts w:ascii="Arial Narrow" w:hAnsi="Arial Narrow"/>
        </w:rPr>
        <w:t>a</w:t>
      </w:r>
      <w:proofErr w:type="gramEnd"/>
      <w:r w:rsidR="00E91FAE">
        <w:rPr>
          <w:rFonts w:ascii="Arial Narrow" w:hAnsi="Arial Narrow"/>
        </w:rPr>
        <w:t xml:space="preserve"> la date de </w:t>
      </w:r>
      <w:proofErr w:type="spellStart"/>
      <w:r w:rsidR="00E91FAE">
        <w:rPr>
          <w:rFonts w:ascii="Arial Narrow" w:hAnsi="Arial Narrow"/>
        </w:rPr>
        <w:t>presentation</w:t>
      </w:r>
      <w:proofErr w:type="spellEnd"/>
      <w:r w:rsidR="00E91FAE">
        <w:rPr>
          <w:rFonts w:ascii="Arial Narrow" w:hAnsi="Arial Narrow"/>
        </w:rPr>
        <w:t xml:space="preserve"> du Dossier</w:t>
      </w:r>
      <w:r w:rsidRPr="00B143C1">
        <w:rPr>
          <w:rFonts w:ascii="Arial Narrow" w:hAnsi="Arial Narrow"/>
        </w:rPr>
        <w:t>.</w:t>
      </w:r>
    </w:p>
    <w:p w:rsidR="00626BB0" w:rsidRPr="00B143C1" w:rsidRDefault="00626BB0" w:rsidP="00626BB0">
      <w:pPr>
        <w:spacing w:line="480" w:lineRule="auto"/>
        <w:rPr>
          <w:rFonts w:ascii="Arial Narrow" w:hAnsi="Arial Narrow"/>
        </w:rPr>
      </w:pPr>
      <w:r w:rsidRPr="00B143C1">
        <w:rPr>
          <w:rFonts w:ascii="Arial Narrow" w:hAnsi="Arial Narrow"/>
        </w:rPr>
        <w:t>.</w:t>
      </w:r>
    </w:p>
    <w:p w:rsidR="00626BB0" w:rsidRPr="00B143C1" w:rsidRDefault="00626BB0" w:rsidP="00626BB0">
      <w:pPr>
        <w:spacing w:line="480" w:lineRule="auto"/>
        <w:rPr>
          <w:rFonts w:ascii="Arial Narrow" w:hAnsi="Arial Narrow"/>
        </w:rPr>
      </w:pPr>
      <w:r w:rsidRPr="00B143C1">
        <w:rPr>
          <w:rFonts w:ascii="Arial Narrow" w:hAnsi="Arial Narrow"/>
        </w:rPr>
        <w:t>Pour l’</w:t>
      </w:r>
      <w:r w:rsidRPr="00B143C1">
        <w:rPr>
          <w:rFonts w:ascii="Arial Narrow" w:hAnsi="Arial Narrow"/>
          <w:b/>
          <w:color w:val="17365D"/>
        </w:rPr>
        <w:t>Impact Financier Phase 2</w:t>
      </w:r>
      <w:r w:rsidRPr="00B143C1">
        <w:rPr>
          <w:rFonts w:ascii="Arial Narrow" w:hAnsi="Arial Narrow"/>
        </w:rPr>
        <w:t xml:space="preserve">, nous avons utilisé les valeurs </w:t>
      </w:r>
      <w:r w:rsidR="00E91FAE">
        <w:rPr>
          <w:rFonts w:ascii="Arial Narrow" w:hAnsi="Arial Narrow"/>
        </w:rPr>
        <w:t>….</w:t>
      </w:r>
      <w:r w:rsidR="00E91FAE" w:rsidRPr="00B143C1">
        <w:rPr>
          <w:rFonts w:ascii="Arial Narrow" w:hAnsi="Arial Narrow"/>
        </w:rPr>
        <w:t xml:space="preserve"> </w:t>
      </w:r>
    </w:p>
    <w:p w:rsidR="00626BB0" w:rsidRPr="00B143C1" w:rsidRDefault="00626BB0" w:rsidP="00626BB0">
      <w:pPr>
        <w:spacing w:line="480" w:lineRule="auto"/>
        <w:jc w:val="center"/>
        <w:rPr>
          <w:rFonts w:ascii="Arial Narrow" w:hAnsi="Arial Narrow"/>
          <w:b/>
          <w:color w:val="17365D"/>
        </w:rPr>
      </w:pPr>
      <w:r w:rsidRPr="00B143C1">
        <w:rPr>
          <w:rFonts w:ascii="Arial Narrow" w:hAnsi="Arial Narrow"/>
          <w:b/>
          <w:color w:val="17365D"/>
        </w:rPr>
        <w:t>***</w:t>
      </w:r>
    </w:p>
    <w:p w:rsidR="00626BB0" w:rsidRPr="00B143C1" w:rsidRDefault="00626BB0" w:rsidP="00626BB0">
      <w:pPr>
        <w:spacing w:line="480" w:lineRule="auto"/>
        <w:rPr>
          <w:rFonts w:ascii="Arial Narrow" w:hAnsi="Arial Narrow"/>
        </w:rPr>
      </w:pPr>
      <w:r w:rsidRPr="00B143C1">
        <w:rPr>
          <w:rFonts w:ascii="Arial Narrow" w:hAnsi="Arial Narrow"/>
        </w:rPr>
        <w:br w:type="page"/>
      </w:r>
    </w:p>
    <w:p w:rsidR="00E91FAE" w:rsidRDefault="00E91FAE" w:rsidP="00626BB0">
      <w:pPr>
        <w:pStyle w:val="normalnew"/>
        <w:rPr>
          <w:lang w:val="fr-FR"/>
        </w:rPr>
      </w:pPr>
      <w:r>
        <w:rPr>
          <w:lang w:val="fr-FR"/>
        </w:rPr>
        <w:lastRenderedPageBreak/>
        <w:t xml:space="preserve">Tel que </w:t>
      </w:r>
      <w:proofErr w:type="spellStart"/>
      <w:r>
        <w:rPr>
          <w:lang w:val="fr-FR"/>
        </w:rPr>
        <w:t>etabli</w:t>
      </w:r>
      <w:proofErr w:type="spellEnd"/>
      <w:r>
        <w:rPr>
          <w:lang w:val="fr-FR"/>
        </w:rPr>
        <w:t xml:space="preserve"> dans le </w:t>
      </w:r>
      <w:r>
        <w:rPr>
          <w:b/>
        </w:rPr>
        <w:t xml:space="preserve">Dossier </w:t>
      </w:r>
      <w:proofErr w:type="spellStart"/>
      <w:r>
        <w:rPr>
          <w:b/>
        </w:rPr>
        <w:t>Technico</w:t>
      </w:r>
      <w:proofErr w:type="spellEnd"/>
      <w:r>
        <w:rPr>
          <w:b/>
        </w:rPr>
        <w:t xml:space="preserve"> et </w:t>
      </w:r>
      <w:proofErr w:type="spellStart"/>
      <w:r>
        <w:rPr>
          <w:b/>
        </w:rPr>
        <w:t>Financière</w:t>
      </w:r>
      <w:proofErr w:type="spellEnd"/>
      <w:r>
        <w:rPr>
          <w:b/>
        </w:rPr>
        <w:t xml:space="preserve"> </w:t>
      </w:r>
      <w:proofErr w:type="spellStart"/>
      <w:r>
        <w:rPr>
          <w:b/>
        </w:rPr>
        <w:t>Phase</w:t>
      </w:r>
      <w:proofErr w:type="spellEnd"/>
      <w:r>
        <w:rPr>
          <w:b/>
        </w:rPr>
        <w:t xml:space="preserve"> 1 et </w:t>
      </w:r>
      <w:proofErr w:type="spellStart"/>
      <w:r>
        <w:rPr>
          <w:b/>
        </w:rPr>
        <w:t>Phase</w:t>
      </w:r>
      <w:proofErr w:type="spellEnd"/>
      <w:r>
        <w:rPr>
          <w:b/>
        </w:rPr>
        <w:t xml:space="preserve"> 2, </w:t>
      </w:r>
      <w:r>
        <w:t>l</w:t>
      </w:r>
      <w:r w:rsidR="00626BB0" w:rsidRPr="007A6536">
        <w:rPr>
          <w:lang w:val="fr-FR"/>
        </w:rPr>
        <w:t xml:space="preserve">a CUMPM, lors de la réunion du 19 juillet 2007 (voir compte-rendu CR n° 14, point 11 en </w:t>
      </w:r>
      <w:fldSimple w:instr=" REF _Ref236479033 \h  \* MERGEFORMAT ">
        <w:r w:rsidR="00626BB0" w:rsidRPr="001E4437">
          <w:rPr>
            <w:b/>
            <w:color w:val="17365D"/>
            <w:lang w:val="fr-FR"/>
          </w:rPr>
          <w:t>Annexe 2</w:t>
        </w:r>
      </w:fldSimple>
      <w:r w:rsidR="00626BB0" w:rsidRPr="007A6536">
        <w:rPr>
          <w:b/>
          <w:color w:val="17365D"/>
          <w:lang w:val="fr-FR"/>
        </w:rPr>
        <w:t>, TOME A</w:t>
      </w:r>
      <w:r w:rsidR="00626BB0" w:rsidRPr="007A6536">
        <w:rPr>
          <w:b/>
          <w:color w:val="1F497D"/>
          <w:lang w:val="fr-FR"/>
        </w:rPr>
        <w:t xml:space="preserve">, </w:t>
      </w:r>
      <w:r w:rsidR="00626BB0" w:rsidRPr="007A6536">
        <w:rPr>
          <w:color w:val="1F497D"/>
          <w:lang w:val="fr-FR"/>
        </w:rPr>
        <w:t>classeur 8</w:t>
      </w:r>
      <w:r>
        <w:rPr>
          <w:color w:val="1F497D"/>
          <w:lang w:val="fr-FR"/>
        </w:rPr>
        <w:t xml:space="preserve"> du </w:t>
      </w:r>
      <w:r>
        <w:rPr>
          <w:b/>
        </w:rPr>
        <w:t xml:space="preserve">Dossier </w:t>
      </w:r>
      <w:proofErr w:type="spellStart"/>
      <w:r>
        <w:rPr>
          <w:b/>
        </w:rPr>
        <w:t>Technico</w:t>
      </w:r>
      <w:proofErr w:type="spellEnd"/>
      <w:r>
        <w:rPr>
          <w:b/>
        </w:rPr>
        <w:t xml:space="preserve"> et </w:t>
      </w:r>
      <w:proofErr w:type="spellStart"/>
      <w:r>
        <w:rPr>
          <w:b/>
        </w:rPr>
        <w:t>Financière</w:t>
      </w:r>
      <w:proofErr w:type="spellEnd"/>
      <w:r>
        <w:rPr>
          <w:b/>
        </w:rPr>
        <w:t xml:space="preserve"> </w:t>
      </w:r>
      <w:proofErr w:type="spellStart"/>
      <w:r>
        <w:rPr>
          <w:b/>
        </w:rPr>
        <w:t>Phase</w:t>
      </w:r>
      <w:proofErr w:type="spellEnd"/>
      <w:r>
        <w:rPr>
          <w:b/>
        </w:rPr>
        <w:t xml:space="preserve"> 1 et </w:t>
      </w:r>
      <w:proofErr w:type="spellStart"/>
      <w:r>
        <w:rPr>
          <w:b/>
        </w:rPr>
        <w:t>Phase</w:t>
      </w:r>
      <w:proofErr w:type="spellEnd"/>
      <w:r>
        <w:rPr>
          <w:b/>
        </w:rPr>
        <w:t xml:space="preserve"> 2</w:t>
      </w:r>
      <w:r w:rsidR="00626BB0" w:rsidRPr="007A6536">
        <w:rPr>
          <w:lang w:val="fr-FR"/>
        </w:rPr>
        <w:t xml:space="preserve">), demande à son Assistant Technique, le Cabinet Merlin la mise en place d’une procédure de fiches de demande de modifications pour un meilleur suivi de tout changement technique convenu avec EveRé. Dans le cadre de ces fiches, il est établi que, pour tout impact financier et /ou de délai, un dossier complet sera demandé postérieurement. </w:t>
      </w:r>
    </w:p>
    <w:p w:rsidR="00626BB0" w:rsidRPr="007A6536" w:rsidRDefault="00626BB0" w:rsidP="00626BB0">
      <w:pPr>
        <w:pStyle w:val="normalnew"/>
        <w:rPr>
          <w:color w:val="1F497D"/>
          <w:lang w:val="fr-FR"/>
        </w:rPr>
      </w:pPr>
      <w:r w:rsidRPr="007A6536">
        <w:rPr>
          <w:lang w:val="fr-FR"/>
        </w:rPr>
        <w:t xml:space="preserve">Au cours de la réunion suivante en date du 6 septembre 2007, la procédure établie pour ces fiches de demandes de modifications a été approuvé par MPM et une première liste englobant l’ensemble des modifications déjà convenues fut établie (sismicité, voie ferrée, ajout de voiles, tri primaire, etc. (voir point 11 du compte-rendu CR n° 15 en </w:t>
      </w:r>
      <w:fldSimple w:instr=" REF _Ref236479033 \h  \* MERGEFORMAT ">
        <w:r w:rsidRPr="001E4437">
          <w:rPr>
            <w:b/>
            <w:color w:val="17365D"/>
            <w:lang w:val="fr-FR"/>
          </w:rPr>
          <w:t>Annexe 2</w:t>
        </w:r>
      </w:fldSimple>
      <w:r w:rsidRPr="00F327DF">
        <w:rPr>
          <w:lang w:val="fr-FR"/>
        </w:rPr>
        <w:t>,</w:t>
      </w:r>
      <w:r w:rsidRPr="007A6536">
        <w:rPr>
          <w:b/>
          <w:lang w:val="fr-FR"/>
        </w:rPr>
        <w:t xml:space="preserve"> </w:t>
      </w:r>
      <w:r w:rsidRPr="007A6536">
        <w:rPr>
          <w:b/>
          <w:color w:val="17365D"/>
          <w:lang w:val="fr-FR"/>
        </w:rPr>
        <w:t>TOME A</w:t>
      </w:r>
      <w:r w:rsidRPr="00F327DF">
        <w:rPr>
          <w:lang w:val="fr-FR"/>
        </w:rPr>
        <w:t>,</w:t>
      </w:r>
      <w:r w:rsidRPr="007A6536">
        <w:rPr>
          <w:b/>
          <w:color w:val="1F497D"/>
          <w:lang w:val="fr-FR"/>
        </w:rPr>
        <w:t xml:space="preserve"> </w:t>
      </w:r>
      <w:r w:rsidRPr="007A6536">
        <w:rPr>
          <w:color w:val="1F497D"/>
          <w:lang w:val="fr-FR"/>
        </w:rPr>
        <w:t>classeur 8</w:t>
      </w:r>
      <w:r w:rsidR="00E91FAE" w:rsidRPr="00E91FAE">
        <w:rPr>
          <w:b/>
        </w:rPr>
        <w:t xml:space="preserve"> </w:t>
      </w:r>
      <w:r w:rsidR="00E91FAE">
        <w:rPr>
          <w:b/>
        </w:rPr>
        <w:t xml:space="preserve">du Dossier </w:t>
      </w:r>
      <w:proofErr w:type="spellStart"/>
      <w:r w:rsidR="00E91FAE">
        <w:rPr>
          <w:b/>
        </w:rPr>
        <w:t>Technico</w:t>
      </w:r>
      <w:proofErr w:type="spellEnd"/>
      <w:r w:rsidR="00E91FAE">
        <w:rPr>
          <w:b/>
        </w:rPr>
        <w:t xml:space="preserve"> et </w:t>
      </w:r>
      <w:proofErr w:type="spellStart"/>
      <w:r w:rsidR="00E91FAE">
        <w:rPr>
          <w:b/>
        </w:rPr>
        <w:t>Financière</w:t>
      </w:r>
      <w:proofErr w:type="spellEnd"/>
      <w:r w:rsidR="00E91FAE">
        <w:rPr>
          <w:b/>
        </w:rPr>
        <w:t xml:space="preserve"> </w:t>
      </w:r>
      <w:proofErr w:type="spellStart"/>
      <w:r w:rsidR="00E91FAE">
        <w:rPr>
          <w:b/>
        </w:rPr>
        <w:t>Phase</w:t>
      </w:r>
      <w:proofErr w:type="spellEnd"/>
      <w:r w:rsidR="00E91FAE">
        <w:rPr>
          <w:b/>
        </w:rPr>
        <w:t xml:space="preserve"> 1 et </w:t>
      </w:r>
      <w:proofErr w:type="spellStart"/>
      <w:r w:rsidR="00E91FAE">
        <w:rPr>
          <w:b/>
        </w:rPr>
        <w:t>Phase</w:t>
      </w:r>
      <w:proofErr w:type="spellEnd"/>
      <w:r w:rsidR="00E91FAE">
        <w:rPr>
          <w:b/>
        </w:rPr>
        <w:t xml:space="preserve"> </w:t>
      </w:r>
      <w:proofErr w:type="gramStart"/>
      <w:r w:rsidR="00E91FAE">
        <w:rPr>
          <w:b/>
        </w:rPr>
        <w:t>2</w:t>
      </w:r>
      <w:r w:rsidR="00E91FAE">
        <w:rPr>
          <w:color w:val="1F497D"/>
          <w:lang w:val="fr-FR"/>
        </w:rPr>
        <w:t xml:space="preserve"> </w:t>
      </w:r>
      <w:r w:rsidRPr="000E1105">
        <w:rPr>
          <w:lang w:val="fr-FR"/>
        </w:rPr>
        <w:t>)</w:t>
      </w:r>
      <w:proofErr w:type="gramEnd"/>
      <w:r w:rsidRPr="007A6536">
        <w:rPr>
          <w:color w:val="1F497D"/>
          <w:lang w:val="fr-FR"/>
        </w:rPr>
        <w:t>.</w:t>
      </w:r>
    </w:p>
    <w:p w:rsidR="00626BB0" w:rsidRPr="007A6536" w:rsidRDefault="00626BB0" w:rsidP="00626BB0">
      <w:pPr>
        <w:pStyle w:val="normalnew"/>
        <w:rPr>
          <w:lang w:val="fr-FR"/>
        </w:rPr>
      </w:pPr>
      <w:r w:rsidRPr="007A6536">
        <w:rPr>
          <w:lang w:val="fr-FR"/>
        </w:rPr>
        <w:t xml:space="preserve">Dans cette même annexe </w:t>
      </w:r>
      <w:r w:rsidRPr="007A6536">
        <w:rPr>
          <w:color w:val="1F497D"/>
          <w:lang w:val="fr-FR"/>
        </w:rPr>
        <w:t>(</w:t>
      </w:r>
      <w:fldSimple w:instr=" REF _Ref236479033 \h  \* MERGEFORMAT ">
        <w:r w:rsidRPr="001E4437">
          <w:rPr>
            <w:b/>
            <w:color w:val="17365D"/>
            <w:lang w:val="fr-FR"/>
          </w:rPr>
          <w:t>Annexe 2</w:t>
        </w:r>
      </w:fldSimple>
      <w:r w:rsidRPr="00F327DF">
        <w:rPr>
          <w:lang w:val="fr-FR"/>
        </w:rPr>
        <w:t>,</w:t>
      </w:r>
      <w:r w:rsidRPr="007A6536">
        <w:rPr>
          <w:b/>
          <w:lang w:val="fr-FR"/>
        </w:rPr>
        <w:t xml:space="preserve"> </w:t>
      </w:r>
      <w:r w:rsidRPr="007A6536">
        <w:rPr>
          <w:b/>
          <w:color w:val="17365D"/>
          <w:lang w:val="fr-FR"/>
        </w:rPr>
        <w:t>TOME A</w:t>
      </w:r>
      <w:r w:rsidRPr="00F327DF">
        <w:rPr>
          <w:lang w:val="fr-FR"/>
        </w:rPr>
        <w:t>,</w:t>
      </w:r>
      <w:r w:rsidRPr="007A6536">
        <w:rPr>
          <w:b/>
          <w:color w:val="1F497D"/>
          <w:lang w:val="fr-FR"/>
        </w:rPr>
        <w:t xml:space="preserve"> </w:t>
      </w:r>
      <w:r w:rsidRPr="000E1105">
        <w:rPr>
          <w:color w:val="17365D"/>
          <w:lang w:val="fr-FR"/>
        </w:rPr>
        <w:t>classeur 8</w:t>
      </w:r>
      <w:r w:rsidR="00E91FAE" w:rsidRPr="00E91FAE">
        <w:rPr>
          <w:b/>
        </w:rPr>
        <w:t xml:space="preserve"> </w:t>
      </w:r>
      <w:r w:rsidR="00E91FAE">
        <w:rPr>
          <w:b/>
        </w:rPr>
        <w:t xml:space="preserve">Dossier </w:t>
      </w:r>
      <w:proofErr w:type="spellStart"/>
      <w:r w:rsidR="00E91FAE">
        <w:rPr>
          <w:b/>
        </w:rPr>
        <w:t>Technico</w:t>
      </w:r>
      <w:proofErr w:type="spellEnd"/>
      <w:r w:rsidR="00E91FAE">
        <w:rPr>
          <w:b/>
        </w:rPr>
        <w:t xml:space="preserve"> et </w:t>
      </w:r>
      <w:proofErr w:type="spellStart"/>
      <w:r w:rsidR="00E91FAE">
        <w:rPr>
          <w:b/>
        </w:rPr>
        <w:t>Financière</w:t>
      </w:r>
      <w:proofErr w:type="spellEnd"/>
      <w:r w:rsidR="00E91FAE">
        <w:rPr>
          <w:b/>
        </w:rPr>
        <w:t xml:space="preserve"> </w:t>
      </w:r>
      <w:proofErr w:type="spellStart"/>
      <w:r w:rsidR="00E91FAE">
        <w:rPr>
          <w:b/>
        </w:rPr>
        <w:t>Phase</w:t>
      </w:r>
      <w:proofErr w:type="spellEnd"/>
      <w:r w:rsidR="00E91FAE">
        <w:rPr>
          <w:b/>
        </w:rPr>
        <w:t xml:space="preserve"> 1 et </w:t>
      </w:r>
      <w:proofErr w:type="spellStart"/>
      <w:r w:rsidR="00E91FAE">
        <w:rPr>
          <w:b/>
        </w:rPr>
        <w:t>Phase</w:t>
      </w:r>
      <w:proofErr w:type="spellEnd"/>
      <w:r w:rsidR="00E91FAE">
        <w:rPr>
          <w:b/>
        </w:rPr>
        <w:t xml:space="preserve"> 2</w:t>
      </w:r>
      <w:r w:rsidRPr="007A6536">
        <w:rPr>
          <w:lang w:val="fr-FR"/>
        </w:rPr>
        <w:t>), nous retrouvons également la procédure relative aux fiches de demande de modifications</w:t>
      </w:r>
      <w:r w:rsidRPr="007A6536">
        <w:rPr>
          <w:color w:val="1F497D"/>
          <w:lang w:val="fr-FR"/>
        </w:rPr>
        <w:t>.</w:t>
      </w:r>
    </w:p>
    <w:p w:rsidR="00626BB0" w:rsidRPr="007A6536" w:rsidRDefault="00626BB0" w:rsidP="00626BB0">
      <w:pPr>
        <w:pStyle w:val="normalnew"/>
        <w:rPr>
          <w:lang w:val="fr-FR"/>
        </w:rPr>
      </w:pPr>
      <w:r w:rsidRPr="007A6536">
        <w:rPr>
          <w:lang w:val="fr-FR"/>
        </w:rPr>
        <w:t xml:space="preserve">Une validation technique a toujours été apposée sur les fiches par l’Assistant au Délégant, confirmée par le Délégant et autorisant ainsi le Délégataire à poursuivre la construction du Projet dans l’ordre défini par le Contrat. Nous joignons l’ensemble des fiches de demande de modifications émises ainsi que les réponses aussi bien du Cabinet Merlin, de MPM que d’EveRé sur ces fiches (voir </w:t>
      </w:r>
      <w:fldSimple w:instr=" REF _Ref236479033 \h  \* MERGEFORMAT ">
        <w:r w:rsidRPr="001E4437">
          <w:rPr>
            <w:b/>
            <w:color w:val="17365D"/>
            <w:lang w:val="fr-FR"/>
          </w:rPr>
          <w:t>Annexe 2</w:t>
        </w:r>
      </w:fldSimple>
      <w:r w:rsidRPr="007A6536">
        <w:rPr>
          <w:lang w:val="fr-FR"/>
        </w:rPr>
        <w:t xml:space="preserve">, </w:t>
      </w:r>
      <w:r w:rsidRPr="007A6536">
        <w:rPr>
          <w:b/>
          <w:color w:val="17365D"/>
          <w:lang w:val="fr-FR"/>
        </w:rPr>
        <w:t>TOME A</w:t>
      </w:r>
      <w:r w:rsidRPr="00F327DF">
        <w:rPr>
          <w:lang w:val="fr-FR"/>
        </w:rPr>
        <w:t>,</w:t>
      </w:r>
      <w:r w:rsidRPr="007A6536">
        <w:rPr>
          <w:b/>
          <w:color w:val="17365D"/>
          <w:lang w:val="fr-FR"/>
        </w:rPr>
        <w:t xml:space="preserve"> </w:t>
      </w:r>
      <w:r w:rsidRPr="000E1105">
        <w:rPr>
          <w:color w:val="17365D"/>
          <w:lang w:val="fr-FR"/>
        </w:rPr>
        <w:t>classeur 8</w:t>
      </w:r>
      <w:r w:rsidR="00E91FAE">
        <w:rPr>
          <w:color w:val="17365D"/>
          <w:lang w:val="fr-FR"/>
        </w:rPr>
        <w:t xml:space="preserve"> du</w:t>
      </w:r>
      <w:r w:rsidR="00E91FAE" w:rsidRPr="00E91FAE">
        <w:rPr>
          <w:b/>
        </w:rPr>
        <w:t xml:space="preserve"> </w:t>
      </w:r>
      <w:r w:rsidR="00E91FAE">
        <w:rPr>
          <w:b/>
        </w:rPr>
        <w:t xml:space="preserve">Dossier </w:t>
      </w:r>
      <w:proofErr w:type="spellStart"/>
      <w:r w:rsidR="00E91FAE">
        <w:rPr>
          <w:b/>
        </w:rPr>
        <w:t>Technico</w:t>
      </w:r>
      <w:proofErr w:type="spellEnd"/>
      <w:r w:rsidR="00E91FAE">
        <w:rPr>
          <w:b/>
        </w:rPr>
        <w:t xml:space="preserve"> et </w:t>
      </w:r>
      <w:proofErr w:type="spellStart"/>
      <w:r w:rsidR="00E91FAE">
        <w:rPr>
          <w:b/>
        </w:rPr>
        <w:t>Financière</w:t>
      </w:r>
      <w:proofErr w:type="spellEnd"/>
      <w:r w:rsidR="00E91FAE">
        <w:rPr>
          <w:b/>
        </w:rPr>
        <w:t xml:space="preserve"> </w:t>
      </w:r>
      <w:proofErr w:type="spellStart"/>
      <w:r w:rsidR="00E91FAE">
        <w:rPr>
          <w:b/>
        </w:rPr>
        <w:t>Phase</w:t>
      </w:r>
      <w:proofErr w:type="spellEnd"/>
      <w:r w:rsidR="00E91FAE">
        <w:rPr>
          <w:b/>
        </w:rPr>
        <w:t xml:space="preserve"> 1 et </w:t>
      </w:r>
      <w:proofErr w:type="spellStart"/>
      <w:r w:rsidR="00E91FAE">
        <w:rPr>
          <w:b/>
        </w:rPr>
        <w:t>Phase</w:t>
      </w:r>
      <w:proofErr w:type="spellEnd"/>
      <w:r w:rsidR="00E91FAE">
        <w:rPr>
          <w:b/>
        </w:rPr>
        <w:t xml:space="preserve"> </w:t>
      </w:r>
      <w:proofErr w:type="gramStart"/>
      <w:r w:rsidR="00E91FAE">
        <w:rPr>
          <w:b/>
        </w:rPr>
        <w:t>2</w:t>
      </w:r>
      <w:r w:rsidR="00E91FAE">
        <w:rPr>
          <w:color w:val="17365D"/>
          <w:lang w:val="fr-FR"/>
        </w:rPr>
        <w:t xml:space="preserve">  </w:t>
      </w:r>
      <w:r w:rsidRPr="007A6536">
        <w:rPr>
          <w:lang w:val="fr-FR"/>
        </w:rPr>
        <w:t>)</w:t>
      </w:r>
      <w:proofErr w:type="gramEnd"/>
      <w:r w:rsidRPr="007A6536">
        <w:rPr>
          <w:lang w:val="fr-FR"/>
        </w:rPr>
        <w:t>. Ces mêmes fiches ont été également jointes dans les annexes correspondant au chapitre dédié.</w:t>
      </w:r>
    </w:p>
    <w:p w:rsidR="002F4C20" w:rsidRDefault="006008E3">
      <w:r>
        <w:t xml:space="preserve">Tel que constaté dans la procédure d’Expertise et conformément au Cahier de Procédure de CM, assistant technique du </w:t>
      </w:r>
      <w:proofErr w:type="spellStart"/>
      <w:r>
        <w:t>Délégant</w:t>
      </w:r>
      <w:proofErr w:type="gramStart"/>
      <w:r>
        <w:t>,le</w:t>
      </w:r>
      <w:proofErr w:type="spellEnd"/>
      <w:proofErr w:type="gramEnd"/>
      <w:r>
        <w:t xml:space="preserve"> fiches de modifications non contestés dans le </w:t>
      </w:r>
      <w:r w:rsidR="009D38CC">
        <w:t>délai</w:t>
      </w:r>
      <w:r>
        <w:t xml:space="preserve"> de 15 jours ont été </w:t>
      </w:r>
      <w:r w:rsidR="009D38CC">
        <w:t>considérés</w:t>
      </w:r>
      <w:r>
        <w:t xml:space="preserve"> comme approuvés.</w:t>
      </w:r>
    </w:p>
    <w:p w:rsidR="006008E3" w:rsidRDefault="009D38CC">
      <w:r>
        <w:lastRenderedPageBreak/>
        <w:t>En respectant aux translations des résultats de la présente réclamation a la DSP, nous somme partis sur la base que le montants appartenant a la Phase 1 seront remboursés par une redevance indemnitaire et pour celles appartenant a la Phase 2 seront prises en compte via modification de la redevance d’exploitation.</w:t>
      </w:r>
    </w:p>
    <w:sectPr w:rsidR="006008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26F89"/>
    <w:multiLevelType w:val="multilevel"/>
    <w:tmpl w:val="EEFA777C"/>
    <w:lvl w:ilvl="0">
      <w:start w:val="1"/>
      <w:numFmt w:val="decimal"/>
      <w:pStyle w:val="Titre1"/>
      <w:lvlText w:val="%1."/>
      <w:lvlJc w:val="left"/>
      <w:pPr>
        <w:tabs>
          <w:tab w:val="num" w:pos="720"/>
        </w:tabs>
        <w:ind w:left="720" w:hanging="360"/>
      </w:pPr>
      <w:rPr>
        <w:rFonts w:hint="default"/>
      </w:rPr>
    </w:lvl>
    <w:lvl w:ilvl="1">
      <w:start w:val="1"/>
      <w:numFmt w:val="decimal"/>
      <w:pStyle w:val="Titre2"/>
      <w:lvlText w:val="%2."/>
      <w:lvlJc w:val="left"/>
      <w:pPr>
        <w:tabs>
          <w:tab w:val="num" w:pos="1142"/>
        </w:tabs>
        <w:ind w:left="1142" w:hanging="432"/>
      </w:pPr>
      <w:rPr>
        <w:rFonts w:hint="default"/>
      </w:rPr>
    </w:lvl>
    <w:lvl w:ilvl="2">
      <w:start w:val="1"/>
      <w:numFmt w:val="decimal"/>
      <w:pStyle w:val="Titre3"/>
      <w:lvlText w:val="%2.%3."/>
      <w:lvlJc w:val="left"/>
      <w:pPr>
        <w:tabs>
          <w:tab w:val="num" w:pos="1404"/>
        </w:tabs>
        <w:ind w:left="1404" w:hanging="504"/>
      </w:pPr>
      <w:rPr>
        <w:rFonts w:ascii="Arial Narrow" w:hAnsi="Arial Narrow" w:hint="default"/>
        <w:sz w:val="24"/>
        <w:szCs w:val="24"/>
      </w:rPr>
    </w:lvl>
    <w:lvl w:ilvl="3">
      <w:start w:val="1"/>
      <w:numFmt w:val="decimal"/>
      <w:pStyle w:val="Titre4"/>
      <w:lvlText w:val="%2.%3.%4."/>
      <w:lvlJc w:val="left"/>
      <w:pPr>
        <w:tabs>
          <w:tab w:val="num" w:pos="2160"/>
        </w:tabs>
        <w:ind w:left="2088" w:hanging="648"/>
      </w:pPr>
      <w:rPr>
        <w:rFonts w:hint="default"/>
      </w:rPr>
    </w:lvl>
    <w:lvl w:ilvl="4">
      <w:start w:val="1"/>
      <w:numFmt w:val="decimal"/>
      <w:lvlText w:val="%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
    <w:nsid w:val="3CBB1FF9"/>
    <w:multiLevelType w:val="hybridMultilevel"/>
    <w:tmpl w:val="76E25AD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3EC30C90"/>
    <w:multiLevelType w:val="hybridMultilevel"/>
    <w:tmpl w:val="60D2EC36"/>
    <w:lvl w:ilvl="0" w:tplc="50CACDDE">
      <w:start w:val="3"/>
      <w:numFmt w:val="bullet"/>
      <w:lvlText w:val="-"/>
      <w:lvlJc w:val="left"/>
      <w:pPr>
        <w:ind w:left="144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87679F1"/>
    <w:multiLevelType w:val="multilevel"/>
    <w:tmpl w:val="55C49C58"/>
    <w:lvl w:ilvl="0">
      <w:start w:val="1"/>
      <w:numFmt w:val="decimal"/>
      <w:lvlText w:val="%1."/>
      <w:lvlJc w:val="left"/>
      <w:pPr>
        <w:ind w:left="720" w:hanging="360"/>
      </w:pPr>
    </w:lvl>
    <w:lvl w:ilvl="1">
      <w:start w:val="9"/>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86B0E41"/>
    <w:multiLevelType w:val="hybridMultilevel"/>
    <w:tmpl w:val="15C80F60"/>
    <w:lvl w:ilvl="0" w:tplc="2A5C5694">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4C20"/>
    <w:rsid w:val="002F4C20"/>
    <w:rsid w:val="005353D8"/>
    <w:rsid w:val="005757E3"/>
    <w:rsid w:val="006008E3"/>
    <w:rsid w:val="00626BB0"/>
    <w:rsid w:val="00640345"/>
    <w:rsid w:val="00816469"/>
    <w:rsid w:val="009C4659"/>
    <w:rsid w:val="009D38CC"/>
    <w:rsid w:val="00B02720"/>
    <w:rsid w:val="00DE0864"/>
    <w:rsid w:val="00E91FA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BB0"/>
    <w:pPr>
      <w:keepLines/>
      <w:spacing w:after="240" w:line="240" w:lineRule="auto"/>
      <w:jc w:val="both"/>
    </w:pPr>
    <w:rPr>
      <w:rFonts w:ascii="Verdana" w:eastAsia="Times New Roman" w:hAnsi="Verdana" w:cs="Arial"/>
      <w:kern w:val="32"/>
      <w:sz w:val="24"/>
      <w:szCs w:val="24"/>
      <w:lang w:eastAsia="fr-FR"/>
    </w:rPr>
  </w:style>
  <w:style w:type="paragraph" w:styleId="Titre1">
    <w:name w:val="heading 1"/>
    <w:basedOn w:val="Normal"/>
    <w:next w:val="Normal"/>
    <w:link w:val="Titre1Car"/>
    <w:qFormat/>
    <w:rsid w:val="00626BB0"/>
    <w:pPr>
      <w:keepNext/>
      <w:numPr>
        <w:numId w:val="5"/>
      </w:numPr>
      <w:spacing w:before="240" w:after="60"/>
      <w:outlineLvl w:val="0"/>
    </w:pPr>
    <w:rPr>
      <w:rFonts w:ascii="Arial" w:hAnsi="Arial"/>
      <w:b/>
      <w:bCs/>
      <w:sz w:val="32"/>
      <w:szCs w:val="32"/>
    </w:rPr>
  </w:style>
  <w:style w:type="paragraph" w:styleId="Titre2">
    <w:name w:val="heading 2"/>
    <w:basedOn w:val="Normal"/>
    <w:next w:val="Normal"/>
    <w:link w:val="Titre2Car"/>
    <w:qFormat/>
    <w:rsid w:val="00626BB0"/>
    <w:pPr>
      <w:keepNext/>
      <w:numPr>
        <w:ilvl w:val="1"/>
        <w:numId w:val="5"/>
      </w:numPr>
      <w:spacing w:before="240" w:after="60"/>
      <w:outlineLvl w:val="1"/>
    </w:pPr>
    <w:rPr>
      <w:rFonts w:ascii="Arial" w:hAnsi="Arial"/>
      <w:b/>
      <w:bCs/>
      <w:i/>
      <w:iCs/>
      <w:sz w:val="28"/>
      <w:szCs w:val="28"/>
    </w:rPr>
  </w:style>
  <w:style w:type="paragraph" w:styleId="Titre3">
    <w:name w:val="heading 3"/>
    <w:basedOn w:val="Normal"/>
    <w:next w:val="Normal"/>
    <w:link w:val="Titre3Car"/>
    <w:qFormat/>
    <w:rsid w:val="00626BB0"/>
    <w:pPr>
      <w:keepNext/>
      <w:numPr>
        <w:ilvl w:val="2"/>
        <w:numId w:val="5"/>
      </w:numPr>
      <w:spacing w:before="240" w:after="60"/>
      <w:outlineLvl w:val="2"/>
    </w:pPr>
    <w:rPr>
      <w:rFonts w:ascii="Arial Narrow" w:hAnsi="Arial Narrow"/>
      <w:b/>
      <w:bCs/>
    </w:rPr>
  </w:style>
  <w:style w:type="paragraph" w:styleId="Titre4">
    <w:name w:val="heading 4"/>
    <w:basedOn w:val="Normal"/>
    <w:next w:val="Normal"/>
    <w:link w:val="Titre4Car"/>
    <w:qFormat/>
    <w:rsid w:val="00626BB0"/>
    <w:pPr>
      <w:keepNext/>
      <w:numPr>
        <w:ilvl w:val="3"/>
        <w:numId w:val="5"/>
      </w:numPr>
      <w:spacing w:before="240" w:after="60"/>
      <w:outlineLvl w:val="3"/>
    </w:pPr>
    <w:rPr>
      <w:rFonts w:ascii="Times New Roman" w:hAnsi="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26BB0"/>
    <w:rPr>
      <w:rFonts w:ascii="Arial" w:eastAsia="Times New Roman" w:hAnsi="Arial" w:cs="Arial"/>
      <w:b/>
      <w:bCs/>
      <w:kern w:val="32"/>
      <w:sz w:val="32"/>
      <w:szCs w:val="32"/>
      <w:lang w:eastAsia="fr-FR"/>
    </w:rPr>
  </w:style>
  <w:style w:type="character" w:customStyle="1" w:styleId="Titre2Car">
    <w:name w:val="Titre 2 Car"/>
    <w:basedOn w:val="Policepardfaut"/>
    <w:link w:val="Titre2"/>
    <w:rsid w:val="00626BB0"/>
    <w:rPr>
      <w:rFonts w:ascii="Arial" w:eastAsia="Times New Roman" w:hAnsi="Arial" w:cs="Arial"/>
      <w:b/>
      <w:bCs/>
      <w:i/>
      <w:iCs/>
      <w:kern w:val="32"/>
      <w:sz w:val="28"/>
      <w:szCs w:val="28"/>
      <w:lang w:eastAsia="fr-FR"/>
    </w:rPr>
  </w:style>
  <w:style w:type="character" w:customStyle="1" w:styleId="Titre3Car">
    <w:name w:val="Titre 3 Car"/>
    <w:basedOn w:val="Policepardfaut"/>
    <w:link w:val="Titre3"/>
    <w:rsid w:val="00626BB0"/>
    <w:rPr>
      <w:rFonts w:ascii="Arial Narrow" w:eastAsia="Times New Roman" w:hAnsi="Arial Narrow" w:cs="Arial"/>
      <w:b/>
      <w:bCs/>
      <w:kern w:val="32"/>
      <w:sz w:val="24"/>
      <w:szCs w:val="24"/>
      <w:lang w:eastAsia="fr-FR"/>
    </w:rPr>
  </w:style>
  <w:style w:type="character" w:customStyle="1" w:styleId="Titre4Car">
    <w:name w:val="Titre 4 Car"/>
    <w:basedOn w:val="Policepardfaut"/>
    <w:link w:val="Titre4"/>
    <w:rsid w:val="00626BB0"/>
    <w:rPr>
      <w:rFonts w:ascii="Times New Roman" w:eastAsia="Times New Roman" w:hAnsi="Times New Roman" w:cs="Arial"/>
      <w:b/>
      <w:bCs/>
      <w:kern w:val="32"/>
      <w:sz w:val="28"/>
      <w:szCs w:val="28"/>
      <w:lang w:eastAsia="fr-FR"/>
    </w:rPr>
  </w:style>
  <w:style w:type="paragraph" w:customStyle="1" w:styleId="normalnew">
    <w:name w:val="normal new"/>
    <w:basedOn w:val="Normal"/>
    <w:link w:val="normalnewCar"/>
    <w:autoRedefine/>
    <w:rsid w:val="00626BB0"/>
    <w:pPr>
      <w:spacing w:line="480" w:lineRule="auto"/>
    </w:pPr>
    <w:rPr>
      <w:rFonts w:ascii="Arial Narrow" w:hAnsi="Arial Narrow"/>
      <w:lang w:val="es-ES"/>
    </w:rPr>
  </w:style>
  <w:style w:type="character" w:customStyle="1" w:styleId="normalnewCar">
    <w:name w:val="normal new Car"/>
    <w:basedOn w:val="Policepardfaut"/>
    <w:link w:val="normalnew"/>
    <w:rsid w:val="00626BB0"/>
    <w:rPr>
      <w:rFonts w:ascii="Arial Narrow" w:eastAsia="Times New Roman" w:hAnsi="Arial Narrow" w:cs="Arial"/>
      <w:kern w:val="32"/>
      <w:sz w:val="24"/>
      <w:szCs w:val="24"/>
      <w:lang w:val="es-ES"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8</Pages>
  <Words>1859</Words>
  <Characters>10229</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l.delaparte</dc:creator>
  <cp:keywords/>
  <dc:description/>
  <cp:lastModifiedBy>l.delaparte</cp:lastModifiedBy>
  <cp:revision>2</cp:revision>
  <dcterms:created xsi:type="dcterms:W3CDTF">2010-11-20T18:40:00Z</dcterms:created>
  <dcterms:modified xsi:type="dcterms:W3CDTF">2010-11-20T21:22:00Z</dcterms:modified>
</cp:coreProperties>
</file>