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A1" w:rsidRPr="005C38A1" w:rsidRDefault="005C38A1" w:rsidP="005C38A1">
      <w:pPr>
        <w:keepLines/>
        <w:spacing w:after="240" w:line="480" w:lineRule="auto"/>
        <w:jc w:val="both"/>
        <w:rPr>
          <w:rFonts w:cs="Arial"/>
          <w:kern w:val="32"/>
          <w:sz w:val="22"/>
          <w:szCs w:val="22"/>
        </w:rPr>
      </w:pPr>
      <w:r w:rsidRPr="005C38A1">
        <w:rPr>
          <w:rFonts w:cs="Arial"/>
          <w:kern w:val="32"/>
          <w:sz w:val="22"/>
          <w:szCs w:val="22"/>
        </w:rPr>
        <w:t>6.- Changements « Projet Caselli/Arrêté Compostage »</w:t>
      </w:r>
    </w:p>
    <w:p w:rsidR="0049697B" w:rsidRDefault="005C38A1" w:rsidP="005C38A1">
      <w:pPr>
        <w:keepLines/>
        <w:spacing w:after="240" w:line="480" w:lineRule="auto"/>
        <w:jc w:val="both"/>
        <w:rPr>
          <w:rFonts w:cs="Arial"/>
          <w:b w:val="0"/>
          <w:kern w:val="32"/>
          <w:sz w:val="22"/>
          <w:szCs w:val="22"/>
        </w:rPr>
      </w:pPr>
      <w:commentRangeStart w:id="0"/>
      <w:r w:rsidRPr="005C38A1">
        <w:rPr>
          <w:rFonts w:cs="Arial"/>
          <w:b w:val="0"/>
          <w:kern w:val="32"/>
          <w:sz w:val="22"/>
          <w:szCs w:val="22"/>
        </w:rPr>
        <w:t>Au cours de l’année 2009, MPM a demandé à Urbaser d’étudier différentes alternatives envisageables pour répondre  aux exigences du nouvel arrêté compostage du 22 avril 2008</w:t>
      </w:r>
      <w:r>
        <w:rPr>
          <w:rFonts w:cs="Arial"/>
          <w:b w:val="0"/>
          <w:kern w:val="32"/>
          <w:sz w:val="22"/>
          <w:szCs w:val="22"/>
        </w:rPr>
        <w:t xml:space="preserve"> (annexe 6-1)</w:t>
      </w:r>
      <w:r w:rsidRPr="005C38A1">
        <w:rPr>
          <w:rFonts w:cs="Arial"/>
          <w:b w:val="0"/>
          <w:kern w:val="32"/>
          <w:sz w:val="22"/>
          <w:szCs w:val="22"/>
        </w:rPr>
        <w:t xml:space="preserve"> et également une extension de la partie méthanisation du CTM.</w:t>
      </w:r>
      <w:commentRangeEnd w:id="0"/>
      <w:r w:rsidRPr="005C38A1">
        <w:rPr>
          <w:rStyle w:val="Marquedecommentaire"/>
          <w:b w:val="0"/>
          <w:sz w:val="22"/>
          <w:szCs w:val="22"/>
        </w:rPr>
        <w:commentReference w:id="0"/>
      </w:r>
      <w:r>
        <w:rPr>
          <w:rFonts w:cs="Arial"/>
          <w:b w:val="0"/>
          <w:kern w:val="32"/>
          <w:sz w:val="22"/>
          <w:szCs w:val="22"/>
        </w:rPr>
        <w:t xml:space="preserve">  </w:t>
      </w:r>
      <w:r w:rsidR="0049697B" w:rsidRPr="00B40936">
        <w:rPr>
          <w:rFonts w:cs="Arial"/>
          <w:b w:val="0"/>
          <w:kern w:val="32"/>
          <w:sz w:val="22"/>
          <w:szCs w:val="22"/>
        </w:rPr>
        <w:t>Les raisons qui ont poussé MPM à demander des études complémentaires sur la partie méthanisation ont été développées lors du conseil communautaire du 09 février 2009 (annexe 6-2). La délibération du même jour acte que ces nouvelles orientations sont approuvées (article 1</w:t>
      </w:r>
      <w:r w:rsidR="003F183A" w:rsidRPr="00B40936">
        <w:rPr>
          <w:rFonts w:cs="Arial"/>
          <w:b w:val="0"/>
          <w:kern w:val="32"/>
          <w:sz w:val="22"/>
          <w:szCs w:val="22"/>
        </w:rPr>
        <w:t xml:space="preserve"> de la délibération du 09/02/09</w:t>
      </w:r>
      <w:r w:rsidR="0049697B" w:rsidRPr="00B40936">
        <w:rPr>
          <w:rFonts w:cs="Arial"/>
          <w:b w:val="0"/>
          <w:kern w:val="32"/>
          <w:sz w:val="22"/>
          <w:szCs w:val="22"/>
        </w:rPr>
        <w:t>) et que le Président de la Communauté Urbaine est « </w:t>
      </w:r>
      <w:r w:rsidR="0049697B" w:rsidRPr="00B40936">
        <w:rPr>
          <w:rFonts w:cs="Arial"/>
          <w:kern w:val="32"/>
          <w:sz w:val="22"/>
          <w:szCs w:val="22"/>
        </w:rPr>
        <w:t xml:space="preserve">mandaté pour </w:t>
      </w:r>
      <w:r w:rsidR="003F183A" w:rsidRPr="00B40936">
        <w:rPr>
          <w:rFonts w:cs="Arial"/>
          <w:kern w:val="32"/>
          <w:sz w:val="22"/>
          <w:szCs w:val="22"/>
        </w:rPr>
        <w:t>mener avec</w:t>
      </w:r>
      <w:r w:rsidR="0049697B" w:rsidRPr="00B40936">
        <w:rPr>
          <w:rFonts w:cs="Arial"/>
          <w:kern w:val="32"/>
          <w:sz w:val="22"/>
          <w:szCs w:val="22"/>
        </w:rPr>
        <w:t xml:space="preserve"> les différents</w:t>
      </w:r>
      <w:r w:rsidR="003F183A" w:rsidRPr="00B40936">
        <w:rPr>
          <w:rFonts w:cs="Arial"/>
          <w:kern w:val="32"/>
          <w:sz w:val="22"/>
          <w:szCs w:val="22"/>
        </w:rPr>
        <w:t xml:space="preserve"> partenaires concernés les discussions et les négociations permettant la mise en place du dispositif contractuel nécessité par l’adoption du nouveau projet </w:t>
      </w:r>
      <w:r w:rsidR="003F183A" w:rsidRPr="00B40936">
        <w:rPr>
          <w:rFonts w:cs="Arial"/>
          <w:b w:val="0"/>
          <w:kern w:val="32"/>
          <w:sz w:val="22"/>
          <w:szCs w:val="22"/>
        </w:rPr>
        <w:t>». (article 3 de la délibération du 09/02/09)</w:t>
      </w:r>
      <w:r w:rsidR="003F183A">
        <w:rPr>
          <w:rFonts w:cs="Arial"/>
          <w:b w:val="0"/>
          <w:kern w:val="32"/>
          <w:sz w:val="22"/>
          <w:szCs w:val="22"/>
        </w:rPr>
        <w:t xml:space="preserve"> </w:t>
      </w:r>
      <w:r w:rsidR="0049697B">
        <w:rPr>
          <w:rFonts w:cs="Arial"/>
          <w:b w:val="0"/>
          <w:kern w:val="32"/>
          <w:sz w:val="22"/>
          <w:szCs w:val="22"/>
        </w:rPr>
        <w:t xml:space="preserve">  </w:t>
      </w:r>
    </w:p>
    <w:p w:rsidR="005C38A1" w:rsidRPr="005C38A1" w:rsidRDefault="005C38A1" w:rsidP="005C38A1">
      <w:pPr>
        <w:keepLines/>
        <w:spacing w:after="240" w:line="480" w:lineRule="auto"/>
        <w:jc w:val="both"/>
        <w:rPr>
          <w:rFonts w:cs="Arial"/>
          <w:b w:val="0"/>
          <w:kern w:val="32"/>
          <w:sz w:val="22"/>
          <w:szCs w:val="22"/>
        </w:rPr>
      </w:pPr>
      <w:commentRangeStart w:id="1"/>
      <w:commentRangeStart w:id="2"/>
      <w:r w:rsidRPr="005C38A1">
        <w:rPr>
          <w:rFonts w:cs="Arial"/>
          <w:b w:val="0"/>
          <w:kern w:val="32"/>
          <w:sz w:val="22"/>
          <w:szCs w:val="22"/>
        </w:rPr>
        <w:t xml:space="preserve">Urbaser a transmis au cours de l’année 2009 diverses propositions (annexes </w:t>
      </w:r>
      <w:r w:rsidR="008E5053">
        <w:rPr>
          <w:rFonts w:cs="Arial"/>
          <w:b w:val="0"/>
          <w:kern w:val="32"/>
          <w:sz w:val="22"/>
          <w:szCs w:val="22"/>
        </w:rPr>
        <w:t>6-3</w:t>
      </w:r>
      <w:r w:rsidRPr="005C38A1">
        <w:rPr>
          <w:rFonts w:cs="Arial"/>
          <w:b w:val="0"/>
          <w:kern w:val="32"/>
          <w:sz w:val="22"/>
          <w:szCs w:val="22"/>
        </w:rPr>
        <w:t>) et a retardé l’exécution de certains travaux qui auraient du être détruits dans le cas où le projet Caselli aurait été adopté (cf lettre 041</w:t>
      </w:r>
      <w:r w:rsidR="008E5053">
        <w:rPr>
          <w:rFonts w:cs="Arial"/>
          <w:b w:val="0"/>
          <w:kern w:val="32"/>
          <w:sz w:val="22"/>
          <w:szCs w:val="22"/>
        </w:rPr>
        <w:t xml:space="preserve"> du 22/10/2009 en annexe 6-3</w:t>
      </w:r>
      <w:r w:rsidRPr="00B40936">
        <w:rPr>
          <w:rFonts w:cs="Arial"/>
          <w:b w:val="0"/>
          <w:kern w:val="32"/>
          <w:sz w:val="22"/>
          <w:szCs w:val="22"/>
        </w:rPr>
        <w:t xml:space="preserve">). </w:t>
      </w:r>
      <w:commentRangeEnd w:id="1"/>
      <w:r w:rsidRPr="00B40936">
        <w:rPr>
          <w:rStyle w:val="Marquedecommentaire"/>
          <w:b w:val="0"/>
          <w:sz w:val="22"/>
          <w:szCs w:val="22"/>
        </w:rPr>
        <w:commentReference w:id="1"/>
      </w:r>
      <w:commentRangeEnd w:id="2"/>
      <w:r w:rsidR="008E5053" w:rsidRPr="00B40936">
        <w:rPr>
          <w:rFonts w:cs="Arial"/>
          <w:b w:val="0"/>
          <w:kern w:val="32"/>
          <w:sz w:val="22"/>
          <w:szCs w:val="22"/>
        </w:rPr>
        <w:t>A ce jour, des discussions ont toujours lieu sur l’arrêté compostage (annexe 6-3).</w:t>
      </w:r>
      <w:r w:rsidR="00004E85" w:rsidRPr="00B40936">
        <w:rPr>
          <w:rStyle w:val="Marquedecommentaire"/>
          <w:rFonts w:ascii="Calibri" w:hAnsi="Calibri"/>
          <w:b w:val="0"/>
          <w:bCs w:val="0"/>
          <w:lang w:eastAsia="en-US"/>
        </w:rPr>
        <w:commentReference w:id="2"/>
      </w:r>
    </w:p>
    <w:p w:rsidR="005C38A1" w:rsidRPr="005C38A1" w:rsidRDefault="008E5053" w:rsidP="005C38A1">
      <w:pPr>
        <w:keepLines/>
        <w:spacing w:after="240" w:line="480" w:lineRule="auto"/>
        <w:jc w:val="both"/>
        <w:rPr>
          <w:rFonts w:cs="Arial"/>
          <w:b w:val="0"/>
          <w:kern w:val="32"/>
          <w:sz w:val="22"/>
          <w:szCs w:val="22"/>
        </w:rPr>
      </w:pPr>
      <w:r w:rsidRPr="00B40936">
        <w:rPr>
          <w:rFonts w:cs="Arial"/>
          <w:b w:val="0"/>
          <w:kern w:val="32"/>
          <w:sz w:val="22"/>
          <w:szCs w:val="22"/>
        </w:rPr>
        <w:t>Les travaux relatifs au projet Caselli concernent</w:t>
      </w:r>
      <w:r w:rsidR="005C38A1" w:rsidRPr="005C38A1">
        <w:rPr>
          <w:rFonts w:cs="Arial"/>
          <w:b w:val="0"/>
          <w:kern w:val="32"/>
          <w:sz w:val="22"/>
          <w:szCs w:val="22"/>
        </w:rPr>
        <w:t xml:space="preserve"> notamment d’une modification de l’alimentation des homogénéisateurs. En effet pour anticiper la mise en place d’homogénéisateurs supplémentaires et permettre leur alimentation depuis le tri primaire existant, </w:t>
      </w:r>
      <w:commentRangeStart w:id="3"/>
      <w:commentRangeStart w:id="4"/>
      <w:r w:rsidR="005C38A1" w:rsidRPr="005C38A1">
        <w:rPr>
          <w:rFonts w:cs="Arial"/>
          <w:b w:val="0"/>
          <w:kern w:val="32"/>
          <w:sz w:val="22"/>
          <w:szCs w:val="22"/>
        </w:rPr>
        <w:t xml:space="preserve">EVERE a modifié l’alimentation des BRS existants. </w:t>
      </w:r>
      <w:commentRangeEnd w:id="3"/>
      <w:r w:rsidR="005C38A1" w:rsidRPr="005C38A1">
        <w:rPr>
          <w:rStyle w:val="Marquedecommentaire"/>
          <w:b w:val="0"/>
          <w:sz w:val="22"/>
          <w:szCs w:val="22"/>
        </w:rPr>
        <w:commentReference w:id="3"/>
      </w:r>
      <w:commentRangeEnd w:id="4"/>
      <w:r w:rsidR="00B7060C">
        <w:rPr>
          <w:rStyle w:val="Marquedecommentaire"/>
          <w:rFonts w:ascii="Calibri" w:hAnsi="Calibri"/>
          <w:b w:val="0"/>
          <w:bCs w:val="0"/>
          <w:lang w:eastAsia="en-US"/>
        </w:rPr>
        <w:commentReference w:id="4"/>
      </w:r>
      <w:r w:rsidR="005C38A1" w:rsidRPr="005C38A1">
        <w:rPr>
          <w:rFonts w:cs="Arial"/>
          <w:b w:val="0"/>
          <w:kern w:val="32"/>
          <w:sz w:val="22"/>
          <w:szCs w:val="22"/>
        </w:rPr>
        <w:t xml:space="preserve">En annexe </w:t>
      </w:r>
      <w:r w:rsidR="00B40936">
        <w:rPr>
          <w:rFonts w:cs="Arial"/>
          <w:b w:val="0"/>
          <w:kern w:val="32"/>
          <w:sz w:val="22"/>
          <w:szCs w:val="22"/>
        </w:rPr>
        <w:t>6-4</w:t>
      </w:r>
      <w:r w:rsidR="005C38A1" w:rsidRPr="005C38A1">
        <w:rPr>
          <w:rFonts w:cs="Arial"/>
          <w:b w:val="0"/>
          <w:kern w:val="32"/>
          <w:sz w:val="22"/>
          <w:szCs w:val="22"/>
        </w:rPr>
        <w:t>, un schéma de la configuration prévue initialement, de l’alimentation des deux BRS existants depuis le tri primaire et un schéma de la configuration à mettre en place pour le projet d’extension permet de bien comprendre les différences. Sans cette modification, il n’aurait pas été possible dans le futur (pour l’extension) de réaliser ces changements sans un arrêt conséquent de l’installation actuelle. Au final le projet d’extension n’a pas été retenu et l’alimentation des BRS a été modifiée pour revenir à la configuration initiale.</w:t>
      </w:r>
    </w:p>
    <w:p w:rsidR="005C38A1" w:rsidRPr="005C38A1" w:rsidRDefault="005C38A1" w:rsidP="005C38A1">
      <w:pPr>
        <w:keepLines/>
        <w:spacing w:after="240" w:line="480" w:lineRule="auto"/>
        <w:jc w:val="both"/>
        <w:rPr>
          <w:rFonts w:cs="Arial"/>
          <w:b w:val="0"/>
          <w:kern w:val="32"/>
          <w:sz w:val="22"/>
          <w:szCs w:val="22"/>
        </w:rPr>
      </w:pPr>
      <w:commentRangeStart w:id="5"/>
      <w:commentRangeStart w:id="6"/>
      <w:r w:rsidRPr="005C38A1">
        <w:rPr>
          <w:rFonts w:cs="Arial"/>
          <w:b w:val="0"/>
          <w:kern w:val="32"/>
          <w:sz w:val="22"/>
          <w:szCs w:val="22"/>
        </w:rPr>
        <w:lastRenderedPageBreak/>
        <w:t>Le surcoût lié au changement de configuration de l’alimentation des BRS pour anticiper l’extension « Caselli »</w:t>
      </w:r>
      <w:r w:rsidR="00004E85">
        <w:rPr>
          <w:rFonts w:cs="Arial"/>
          <w:b w:val="0"/>
          <w:kern w:val="32"/>
          <w:sz w:val="22"/>
          <w:szCs w:val="22"/>
        </w:rPr>
        <w:t xml:space="preserve"> (extension de la méthanisation)</w:t>
      </w:r>
      <w:r w:rsidRPr="005C38A1">
        <w:rPr>
          <w:rFonts w:cs="Arial"/>
          <w:b w:val="0"/>
          <w:kern w:val="32"/>
          <w:sz w:val="22"/>
          <w:szCs w:val="22"/>
        </w:rPr>
        <w:t xml:space="preserve"> s’élève à  96 630 €. Ce montant se décompose comme suit :</w:t>
      </w:r>
    </w:p>
    <w:p w:rsidR="005C38A1" w:rsidRDefault="005C38A1" w:rsidP="005C38A1">
      <w:pPr>
        <w:keepLines/>
        <w:spacing w:after="240" w:line="480" w:lineRule="auto"/>
        <w:jc w:val="both"/>
        <w:rPr>
          <w:rFonts w:cs="Arial"/>
          <w:b w:val="0"/>
          <w:kern w:val="32"/>
          <w:sz w:val="22"/>
          <w:szCs w:val="22"/>
        </w:rPr>
      </w:pPr>
      <w:r w:rsidRPr="005C38A1">
        <w:rPr>
          <w:rFonts w:cs="Arial"/>
          <w:b w:val="0"/>
          <w:kern w:val="32"/>
          <w:sz w:val="22"/>
          <w:szCs w:val="22"/>
        </w:rPr>
        <w:t>-</w:t>
      </w:r>
      <w:r w:rsidRPr="005C38A1">
        <w:rPr>
          <w:rFonts w:cs="Arial"/>
          <w:b w:val="0"/>
          <w:kern w:val="32"/>
          <w:sz w:val="22"/>
          <w:szCs w:val="22"/>
        </w:rPr>
        <w:tab/>
        <w:t>42 664 €, avenant 1 de la commande du tri primaire avec la société VAUCHE</w:t>
      </w:r>
      <w:r w:rsidR="00585954">
        <w:rPr>
          <w:rFonts w:cs="Arial"/>
          <w:b w:val="0"/>
          <w:kern w:val="32"/>
          <w:sz w:val="22"/>
          <w:szCs w:val="22"/>
        </w:rPr>
        <w:t xml:space="preserve"> (annexe 6-5)</w:t>
      </w:r>
      <w:r w:rsidRPr="005C38A1">
        <w:rPr>
          <w:rFonts w:cs="Arial"/>
          <w:b w:val="0"/>
          <w:kern w:val="32"/>
          <w:sz w:val="22"/>
          <w:szCs w:val="22"/>
        </w:rPr>
        <w:t>. Cet avenant comprend les études, fourniture, livraison et travaux de modification de l’alimentation des BRS : passage de la configuration initiale à la configuration extension.</w:t>
      </w:r>
    </w:p>
    <w:p w:rsidR="00650EC5" w:rsidRPr="005C38A1" w:rsidRDefault="00650EC5" w:rsidP="005C38A1">
      <w:pPr>
        <w:keepLines/>
        <w:spacing w:after="240" w:line="480" w:lineRule="auto"/>
        <w:jc w:val="both"/>
        <w:rPr>
          <w:rFonts w:cs="Arial"/>
          <w:b w:val="0"/>
          <w:kern w:val="32"/>
          <w:sz w:val="22"/>
          <w:szCs w:val="22"/>
        </w:rPr>
      </w:pPr>
      <w:r>
        <w:rPr>
          <w:rFonts w:cs="Arial"/>
          <w:b w:val="0"/>
          <w:kern w:val="32"/>
          <w:sz w:val="22"/>
          <w:szCs w:val="22"/>
        </w:rPr>
        <w:t xml:space="preserve">Les travaux ont été réalisés en décembre 2009. L’indice a2m correspondant à cette date était de 1,6249. Le montant actualisé </w:t>
      </w:r>
      <w:r w:rsidRPr="00650EC5">
        <w:rPr>
          <w:rFonts w:cs="Arial"/>
          <w:b w:val="0"/>
          <w:kern w:val="32"/>
          <w:sz w:val="22"/>
          <w:szCs w:val="22"/>
        </w:rPr>
        <w:t xml:space="preserve">au </w:t>
      </w:r>
      <w:r w:rsidRPr="00650EC5">
        <w:rPr>
          <w:rFonts w:cs="Arial"/>
          <w:b w:val="0"/>
          <w:kern w:val="32"/>
          <w:sz w:val="22"/>
          <w:szCs w:val="22"/>
          <w:highlight w:val="yellow"/>
        </w:rPr>
        <w:t>XX/XX/XXXX est donc de (=42 664* /1,6249)</w:t>
      </w:r>
    </w:p>
    <w:p w:rsidR="00650EC5" w:rsidRPr="005C38A1" w:rsidRDefault="005C38A1" w:rsidP="005C38A1">
      <w:pPr>
        <w:keepLines/>
        <w:spacing w:after="240" w:line="480" w:lineRule="auto"/>
        <w:jc w:val="both"/>
        <w:rPr>
          <w:rFonts w:cs="Arial"/>
          <w:b w:val="0"/>
          <w:kern w:val="32"/>
          <w:sz w:val="22"/>
          <w:szCs w:val="22"/>
        </w:rPr>
      </w:pPr>
      <w:r w:rsidRPr="005C38A1">
        <w:rPr>
          <w:rFonts w:cs="Arial"/>
          <w:b w:val="0"/>
          <w:kern w:val="32"/>
          <w:sz w:val="22"/>
          <w:szCs w:val="22"/>
        </w:rPr>
        <w:t>-</w:t>
      </w:r>
      <w:r w:rsidRPr="005C38A1">
        <w:rPr>
          <w:rFonts w:cs="Arial"/>
          <w:b w:val="0"/>
          <w:kern w:val="32"/>
          <w:sz w:val="22"/>
          <w:szCs w:val="22"/>
        </w:rPr>
        <w:tab/>
        <w:t xml:space="preserve">53 966 €, commandes </w:t>
      </w:r>
      <w:proofErr w:type="gramStart"/>
      <w:r w:rsidRPr="005C38A1">
        <w:rPr>
          <w:rFonts w:cs="Arial"/>
          <w:b w:val="0"/>
          <w:kern w:val="32"/>
          <w:sz w:val="22"/>
          <w:szCs w:val="22"/>
        </w:rPr>
        <w:t>( 48000</w:t>
      </w:r>
      <w:proofErr w:type="gramEnd"/>
      <w:r w:rsidRPr="005C38A1">
        <w:rPr>
          <w:rFonts w:cs="Arial"/>
          <w:b w:val="0"/>
          <w:kern w:val="32"/>
          <w:sz w:val="22"/>
          <w:szCs w:val="22"/>
        </w:rPr>
        <w:t xml:space="preserve"> + 5966 ) avec la société Transmeca</w:t>
      </w:r>
      <w:r w:rsidR="009E504D">
        <w:rPr>
          <w:rFonts w:cs="Arial"/>
          <w:b w:val="0"/>
          <w:kern w:val="32"/>
          <w:sz w:val="22"/>
          <w:szCs w:val="22"/>
        </w:rPr>
        <w:t xml:space="preserve"> (annexe 6-6)</w:t>
      </w:r>
      <w:r w:rsidRPr="005C38A1">
        <w:rPr>
          <w:rFonts w:cs="Arial"/>
          <w:b w:val="0"/>
          <w:kern w:val="32"/>
          <w:sz w:val="22"/>
          <w:szCs w:val="22"/>
        </w:rPr>
        <w:t>. Ces commandes comprennent les travaux nécessaires pour la modification de l’alimentation des BRS, passage de la configuration de l’extension à la configuration prévue initialement.</w:t>
      </w:r>
    </w:p>
    <w:commentRangeEnd w:id="5"/>
    <w:commentRangeEnd w:id="6"/>
    <w:p w:rsidR="00C40425" w:rsidRDefault="00B7060C" w:rsidP="005C38A1">
      <w:pPr>
        <w:keepLines/>
        <w:spacing w:after="240" w:line="480" w:lineRule="auto"/>
        <w:jc w:val="both"/>
        <w:rPr>
          <w:rFonts w:cs="Arial"/>
          <w:b w:val="0"/>
          <w:kern w:val="32"/>
          <w:sz w:val="22"/>
          <w:szCs w:val="22"/>
        </w:rPr>
      </w:pPr>
      <w:r>
        <w:rPr>
          <w:rStyle w:val="Marquedecommentaire"/>
          <w:rFonts w:ascii="Calibri" w:hAnsi="Calibri"/>
          <w:b w:val="0"/>
          <w:bCs w:val="0"/>
          <w:lang w:eastAsia="en-US"/>
        </w:rPr>
        <w:commentReference w:id="5"/>
      </w:r>
      <w:r w:rsidR="00650EC5">
        <w:rPr>
          <w:rFonts w:cs="Arial"/>
          <w:b w:val="0"/>
          <w:kern w:val="32"/>
          <w:sz w:val="22"/>
          <w:szCs w:val="22"/>
        </w:rPr>
        <w:t xml:space="preserve">Ces travaux ont été effectués en juin 2010. L’indice a2m était de 1,1787. Le montant actualisé au </w:t>
      </w:r>
      <w:r w:rsidR="00650EC5" w:rsidRPr="00824FF1">
        <w:rPr>
          <w:rFonts w:cs="Arial"/>
          <w:b w:val="0"/>
          <w:kern w:val="32"/>
          <w:sz w:val="22"/>
          <w:szCs w:val="22"/>
          <w:highlight w:val="yellow"/>
        </w:rPr>
        <w:t>XX/XX/XXXX est donc de (=53966* /</w:t>
      </w:r>
      <w:r w:rsidR="00C40425" w:rsidRPr="00824FF1">
        <w:rPr>
          <w:rFonts w:cs="Arial"/>
          <w:b w:val="0"/>
          <w:kern w:val="32"/>
          <w:sz w:val="22"/>
          <w:szCs w:val="22"/>
          <w:highlight w:val="yellow"/>
        </w:rPr>
        <w:t>1,1787)</w:t>
      </w:r>
    </w:p>
    <w:p w:rsidR="005C38A1" w:rsidRPr="005C38A1" w:rsidRDefault="005C38A1" w:rsidP="005C38A1">
      <w:pPr>
        <w:keepLines/>
        <w:spacing w:after="240" w:line="480" w:lineRule="auto"/>
        <w:jc w:val="both"/>
        <w:rPr>
          <w:rFonts w:cs="Arial"/>
          <w:b w:val="0"/>
          <w:kern w:val="32"/>
          <w:sz w:val="22"/>
          <w:szCs w:val="22"/>
        </w:rPr>
      </w:pPr>
      <w:r w:rsidRPr="005C38A1">
        <w:rPr>
          <w:rStyle w:val="Marquedecommentaire"/>
          <w:b w:val="0"/>
          <w:sz w:val="22"/>
          <w:szCs w:val="22"/>
        </w:rPr>
        <w:commentReference w:id="6"/>
      </w:r>
    </w:p>
    <w:p w:rsidR="005C38A1" w:rsidRPr="005C38A1" w:rsidRDefault="005C38A1" w:rsidP="005C38A1">
      <w:pPr>
        <w:keepLines/>
        <w:spacing w:after="240" w:line="480" w:lineRule="auto"/>
        <w:jc w:val="both"/>
        <w:rPr>
          <w:rFonts w:cs="Arial"/>
          <w:b w:val="0"/>
          <w:kern w:val="32"/>
          <w:sz w:val="22"/>
          <w:szCs w:val="22"/>
        </w:rPr>
      </w:pPr>
      <w:r w:rsidRPr="005C38A1">
        <w:rPr>
          <w:rFonts w:cs="Arial"/>
          <w:b w:val="0"/>
          <w:kern w:val="32"/>
          <w:sz w:val="22"/>
          <w:szCs w:val="22"/>
        </w:rPr>
        <w:t>De plus, l’extension de la capacité de la méthanisation entraine inévitablement une augmentation de la quantité de refus du tri secondaire. Le projet d’extension de la méthanisation était associé à une diminution de la capacité de traitement de l’UVE. De fait une partie des refus du tri secondaire ne pouvait plus être traitée par l’incinération. C’est pourquoi il a fallu prévoir un système d’évacuation d’une partie de ces déchets pour un traitement extérieur au site</w:t>
      </w:r>
      <w:commentRangeStart w:id="7"/>
      <w:r w:rsidRPr="005C38A1">
        <w:rPr>
          <w:rFonts w:cs="Arial"/>
          <w:b w:val="0"/>
          <w:kern w:val="32"/>
          <w:sz w:val="22"/>
          <w:szCs w:val="22"/>
        </w:rPr>
        <w:t xml:space="preserve">. </w:t>
      </w:r>
      <w:commentRangeStart w:id="8"/>
      <w:r w:rsidRPr="005C38A1">
        <w:rPr>
          <w:rFonts w:cs="Arial"/>
          <w:b w:val="0"/>
          <w:kern w:val="32"/>
          <w:sz w:val="22"/>
          <w:szCs w:val="22"/>
        </w:rPr>
        <w:t>Pour cela EVERE a remplacé la bande transporteuse des refus du tri secondaire par deux bandes transporteuses avec possibilité d’évacuation des refus de la première bande vers une trémie de rechargement en camion.</w:t>
      </w:r>
      <w:commentRangeEnd w:id="8"/>
      <w:r w:rsidRPr="005C38A1">
        <w:rPr>
          <w:rStyle w:val="Marquedecommentaire"/>
          <w:b w:val="0"/>
          <w:sz w:val="22"/>
          <w:szCs w:val="22"/>
        </w:rPr>
        <w:commentReference w:id="8"/>
      </w:r>
      <w:commentRangeEnd w:id="7"/>
      <w:r w:rsidR="00B7060C">
        <w:rPr>
          <w:rStyle w:val="Marquedecommentaire"/>
          <w:rFonts w:ascii="Calibri" w:hAnsi="Calibri"/>
          <w:b w:val="0"/>
          <w:bCs w:val="0"/>
          <w:lang w:eastAsia="en-US"/>
        </w:rPr>
        <w:commentReference w:id="7"/>
      </w:r>
    </w:p>
    <w:p w:rsidR="005C38A1" w:rsidRDefault="005C38A1" w:rsidP="005C38A1">
      <w:pPr>
        <w:keepLines/>
        <w:spacing w:after="240" w:line="480" w:lineRule="auto"/>
        <w:jc w:val="both"/>
        <w:rPr>
          <w:rFonts w:cs="Arial"/>
          <w:b w:val="0"/>
          <w:kern w:val="32"/>
          <w:sz w:val="22"/>
          <w:szCs w:val="22"/>
        </w:rPr>
      </w:pPr>
      <w:r w:rsidRPr="005C38A1">
        <w:rPr>
          <w:rFonts w:cs="Arial"/>
          <w:b w:val="0"/>
          <w:kern w:val="32"/>
          <w:sz w:val="22"/>
          <w:szCs w:val="22"/>
        </w:rPr>
        <w:t>Le surcoût lié à la mise en place d’un système d’évacuation des refus du tri secondaire par camion s’élève à 32089 €. Ce montant correspond à une partie (Etude, fourniture, livraison et travaux de modification de l’alimentation des BRS) de l’avenant1 de la commande du tri secondaire avec la société VAUCHE</w:t>
      </w:r>
      <w:r w:rsidR="0054315C">
        <w:rPr>
          <w:rFonts w:cs="Arial"/>
          <w:b w:val="0"/>
          <w:kern w:val="32"/>
          <w:sz w:val="22"/>
          <w:szCs w:val="22"/>
        </w:rPr>
        <w:t xml:space="preserve"> (annexe 6-7)</w:t>
      </w:r>
      <w:r w:rsidRPr="005C38A1">
        <w:rPr>
          <w:rFonts w:cs="Arial"/>
          <w:b w:val="0"/>
          <w:kern w:val="32"/>
          <w:sz w:val="22"/>
          <w:szCs w:val="22"/>
        </w:rPr>
        <w:t>.</w:t>
      </w:r>
      <w:r w:rsidR="0054315C">
        <w:rPr>
          <w:rFonts w:cs="Arial"/>
          <w:b w:val="0"/>
          <w:kern w:val="32"/>
          <w:sz w:val="22"/>
          <w:szCs w:val="22"/>
        </w:rPr>
        <w:t xml:space="preserve"> Le montant correspond </w:t>
      </w:r>
      <w:proofErr w:type="gramStart"/>
      <w:r w:rsidR="0054315C">
        <w:rPr>
          <w:rFonts w:cs="Arial"/>
          <w:b w:val="0"/>
          <w:kern w:val="32"/>
          <w:sz w:val="22"/>
          <w:szCs w:val="22"/>
        </w:rPr>
        <w:t>aux postes</w:t>
      </w:r>
      <w:proofErr w:type="gramEnd"/>
      <w:r w:rsidR="0054315C">
        <w:rPr>
          <w:rFonts w:cs="Arial"/>
          <w:b w:val="0"/>
          <w:kern w:val="32"/>
          <w:sz w:val="22"/>
          <w:szCs w:val="22"/>
        </w:rPr>
        <w:t xml:space="preserve"> 1 et 2 de la décomposition des prix de la commande.</w:t>
      </w:r>
    </w:p>
    <w:p w:rsidR="00C40425" w:rsidRPr="005C38A1" w:rsidRDefault="00C40425" w:rsidP="005C38A1">
      <w:pPr>
        <w:keepLines/>
        <w:spacing w:after="240" w:line="480" w:lineRule="auto"/>
        <w:jc w:val="both"/>
        <w:rPr>
          <w:rFonts w:cs="Arial"/>
          <w:b w:val="0"/>
          <w:kern w:val="32"/>
          <w:sz w:val="22"/>
          <w:szCs w:val="22"/>
        </w:rPr>
      </w:pPr>
      <w:r>
        <w:rPr>
          <w:rFonts w:cs="Arial"/>
          <w:b w:val="0"/>
          <w:kern w:val="32"/>
          <w:sz w:val="22"/>
          <w:szCs w:val="22"/>
        </w:rPr>
        <w:t xml:space="preserve">Les travaux ont été réalisés en novembre 2009. L’indice a2m pour cette date était de 1,6249. Le montant actualisé au </w:t>
      </w:r>
      <w:r w:rsidRPr="00C40425">
        <w:rPr>
          <w:rFonts w:cs="Arial"/>
          <w:b w:val="0"/>
          <w:kern w:val="32"/>
          <w:sz w:val="22"/>
          <w:szCs w:val="22"/>
          <w:highlight w:val="yellow"/>
        </w:rPr>
        <w:t>XX/XX/XXXX est donc de (=32089* /1,6249)</w:t>
      </w:r>
    </w:p>
    <w:p w:rsidR="005C38A1" w:rsidRPr="005C38A1" w:rsidRDefault="005C38A1" w:rsidP="005C38A1">
      <w:pPr>
        <w:keepLines/>
        <w:spacing w:after="240" w:line="480" w:lineRule="auto"/>
        <w:jc w:val="both"/>
        <w:rPr>
          <w:rFonts w:cs="Arial"/>
          <w:b w:val="0"/>
          <w:kern w:val="32"/>
          <w:sz w:val="22"/>
          <w:szCs w:val="22"/>
        </w:rPr>
      </w:pPr>
      <w:r w:rsidRPr="005C38A1">
        <w:rPr>
          <w:rFonts w:cs="Arial"/>
          <w:b w:val="0"/>
          <w:kern w:val="32"/>
          <w:sz w:val="22"/>
          <w:szCs w:val="22"/>
        </w:rPr>
        <w:lastRenderedPageBreak/>
        <w:t xml:space="preserve">Le montant de surcoût d’équipements lié à l’anticipation du projet « Caselli » s’élève ainsi à </w:t>
      </w:r>
      <w:r w:rsidR="00C40425" w:rsidRPr="00C40425">
        <w:rPr>
          <w:rFonts w:cs="Arial"/>
          <w:b w:val="0"/>
          <w:kern w:val="32"/>
          <w:sz w:val="22"/>
          <w:szCs w:val="22"/>
          <w:highlight w:val="yellow"/>
        </w:rPr>
        <w:t>XXX XXX</w:t>
      </w:r>
      <w:r w:rsidRPr="00C40425">
        <w:rPr>
          <w:rFonts w:cs="Arial"/>
          <w:b w:val="0"/>
          <w:kern w:val="32"/>
          <w:sz w:val="22"/>
          <w:szCs w:val="22"/>
          <w:highlight w:val="yellow"/>
        </w:rPr>
        <w:t>€.</w:t>
      </w:r>
      <w:r w:rsidR="00C40425" w:rsidRPr="00C40425">
        <w:rPr>
          <w:rFonts w:cs="Arial"/>
          <w:b w:val="0"/>
          <w:kern w:val="32"/>
          <w:sz w:val="22"/>
          <w:szCs w:val="22"/>
          <w:highlight w:val="yellow"/>
        </w:rPr>
        <w:t xml:space="preserve"> (</w:t>
      </w:r>
      <w:proofErr w:type="gramStart"/>
      <w:r w:rsidR="00C40425" w:rsidRPr="00C40425">
        <w:rPr>
          <w:rFonts w:cs="Arial"/>
          <w:b w:val="0"/>
          <w:kern w:val="32"/>
          <w:sz w:val="22"/>
          <w:szCs w:val="22"/>
          <w:highlight w:val="yellow"/>
        </w:rPr>
        <w:t>valeur</w:t>
      </w:r>
      <w:proofErr w:type="gramEnd"/>
      <w:r w:rsidR="00C40425" w:rsidRPr="00C40425">
        <w:rPr>
          <w:rFonts w:cs="Arial"/>
          <w:b w:val="0"/>
          <w:kern w:val="32"/>
          <w:sz w:val="22"/>
          <w:szCs w:val="22"/>
          <w:highlight w:val="yellow"/>
        </w:rPr>
        <w:t xml:space="preserve"> XX/XX/XXXX)</w:t>
      </w:r>
    </w:p>
    <w:p w:rsidR="005C38A1" w:rsidRPr="005C38A1" w:rsidRDefault="005C38A1" w:rsidP="005C38A1">
      <w:pPr>
        <w:keepLines/>
        <w:spacing w:after="240" w:line="480" w:lineRule="auto"/>
        <w:jc w:val="both"/>
        <w:rPr>
          <w:rFonts w:cs="Arial"/>
          <w:b w:val="0"/>
          <w:kern w:val="32"/>
          <w:sz w:val="22"/>
          <w:szCs w:val="22"/>
        </w:rPr>
      </w:pPr>
      <w:r w:rsidRPr="005C38A1">
        <w:rPr>
          <w:rFonts w:cs="Arial"/>
          <w:b w:val="0"/>
          <w:kern w:val="32"/>
          <w:sz w:val="22"/>
          <w:szCs w:val="22"/>
        </w:rPr>
        <w:t xml:space="preserve">Les frais d'étude et maitrise d'œuvre associés à ce poste s’élèvent à </w:t>
      </w:r>
      <w:r w:rsidRPr="00C40425">
        <w:rPr>
          <w:rFonts w:cs="Arial"/>
          <w:b w:val="0"/>
          <w:kern w:val="32"/>
          <w:sz w:val="22"/>
          <w:szCs w:val="22"/>
          <w:highlight w:val="yellow"/>
        </w:rPr>
        <w:t>128 719</w:t>
      </w:r>
      <w:r w:rsidRPr="005C38A1">
        <w:rPr>
          <w:rFonts w:cs="Arial"/>
          <w:b w:val="0"/>
          <w:kern w:val="32"/>
          <w:sz w:val="22"/>
          <w:szCs w:val="22"/>
        </w:rPr>
        <w:t>X 3,75% soit 4826,96 €</w:t>
      </w:r>
    </w:p>
    <w:p w:rsidR="005C38A1" w:rsidRPr="005C38A1" w:rsidRDefault="005C38A1" w:rsidP="005C38A1">
      <w:pPr>
        <w:keepLines/>
        <w:spacing w:after="240" w:line="480" w:lineRule="auto"/>
        <w:jc w:val="both"/>
        <w:rPr>
          <w:rFonts w:cs="Arial"/>
          <w:b w:val="0"/>
          <w:kern w:val="32"/>
          <w:sz w:val="22"/>
          <w:szCs w:val="22"/>
        </w:rPr>
      </w:pPr>
      <w:r w:rsidRPr="005C38A1">
        <w:rPr>
          <w:rFonts w:cs="Arial"/>
          <w:b w:val="0"/>
          <w:kern w:val="32"/>
          <w:sz w:val="22"/>
          <w:szCs w:val="22"/>
        </w:rPr>
        <w:t xml:space="preserve">Les frais de Contrôle technique associés s’élèvent à </w:t>
      </w:r>
      <w:r w:rsidRPr="00C40425">
        <w:rPr>
          <w:rFonts w:cs="Arial"/>
          <w:b w:val="0"/>
          <w:kern w:val="32"/>
          <w:sz w:val="22"/>
          <w:szCs w:val="22"/>
          <w:highlight w:val="yellow"/>
        </w:rPr>
        <w:t>128 719</w:t>
      </w:r>
      <w:r w:rsidRPr="005C38A1">
        <w:rPr>
          <w:rFonts w:cs="Arial"/>
          <w:b w:val="0"/>
          <w:kern w:val="32"/>
          <w:sz w:val="22"/>
          <w:szCs w:val="22"/>
        </w:rPr>
        <w:t xml:space="preserve"> X 0,15% soit 193,08 €</w:t>
      </w:r>
    </w:p>
    <w:p w:rsidR="005C38A1" w:rsidRDefault="005C38A1" w:rsidP="005C38A1">
      <w:pPr>
        <w:keepLines/>
        <w:spacing w:after="240" w:line="480" w:lineRule="auto"/>
        <w:jc w:val="both"/>
        <w:rPr>
          <w:rFonts w:cs="Arial"/>
          <w:b w:val="0"/>
          <w:kern w:val="32"/>
          <w:sz w:val="22"/>
          <w:szCs w:val="22"/>
        </w:rPr>
      </w:pPr>
      <w:r w:rsidRPr="005C38A1">
        <w:rPr>
          <w:rFonts w:cs="Arial"/>
          <w:b w:val="0"/>
          <w:kern w:val="32"/>
          <w:sz w:val="22"/>
          <w:szCs w:val="22"/>
        </w:rPr>
        <w:t>Les Frais Généraux Hors Site associés à ce poste s’élèvent à (</w:t>
      </w:r>
      <w:r w:rsidRPr="00C40425">
        <w:rPr>
          <w:rFonts w:cs="Arial"/>
          <w:b w:val="0"/>
          <w:kern w:val="32"/>
          <w:sz w:val="22"/>
          <w:szCs w:val="22"/>
          <w:highlight w:val="yellow"/>
        </w:rPr>
        <w:t>128 719+4826,96 +193,08</w:t>
      </w:r>
      <w:r w:rsidRPr="005C38A1">
        <w:rPr>
          <w:rFonts w:cs="Arial"/>
          <w:b w:val="0"/>
          <w:kern w:val="32"/>
          <w:sz w:val="22"/>
          <w:szCs w:val="22"/>
        </w:rPr>
        <w:t>) X 7,95 % soit : 10632,25€</w:t>
      </w:r>
    </w:p>
    <w:p w:rsidR="00467466" w:rsidRDefault="00467466" w:rsidP="005C38A1">
      <w:pPr>
        <w:keepLines/>
        <w:spacing w:after="240" w:line="480" w:lineRule="auto"/>
        <w:jc w:val="both"/>
        <w:rPr>
          <w:b w:val="0"/>
          <w:iCs/>
          <w:sz w:val="22"/>
          <w:szCs w:val="22"/>
        </w:rPr>
      </w:pPr>
    </w:p>
    <w:p w:rsidR="005C38A1" w:rsidRDefault="0054315C" w:rsidP="005C38A1">
      <w:pPr>
        <w:keepLines/>
        <w:spacing w:after="240" w:line="480" w:lineRule="auto"/>
        <w:jc w:val="both"/>
        <w:rPr>
          <w:rFonts w:cs="Arial"/>
          <w:b w:val="0"/>
          <w:kern w:val="32"/>
          <w:sz w:val="22"/>
          <w:szCs w:val="22"/>
        </w:rPr>
      </w:pPr>
      <w:r w:rsidRPr="0054315C">
        <w:rPr>
          <w:b w:val="0"/>
          <w:iCs/>
          <w:sz w:val="22"/>
          <w:szCs w:val="22"/>
        </w:rPr>
        <w:t>Par ailleurs, Urbaser a également réalisé des travaux liés aux fondations superficielles et profondes supplémentaires, notamment sur la file 7 du bâtiment maturation, indispensables pour la configuration de l’extension au niveau du bâtiment maturation. Ces travaux n’auraient pas été possibles une fois le bâtiment maturation achevé</w:t>
      </w:r>
      <w:r w:rsidRPr="0054315C">
        <w:rPr>
          <w:b w:val="0"/>
          <w:sz w:val="22"/>
          <w:szCs w:val="22"/>
        </w:rPr>
        <w:t>.</w:t>
      </w:r>
      <w:commentRangeStart w:id="9"/>
      <w:r w:rsidR="005C38A1" w:rsidRPr="0054315C">
        <w:rPr>
          <w:rFonts w:cs="Arial"/>
          <w:b w:val="0"/>
          <w:kern w:val="32"/>
          <w:sz w:val="22"/>
          <w:szCs w:val="22"/>
        </w:rPr>
        <w:t>.</w:t>
      </w:r>
      <w:commentRangeEnd w:id="9"/>
      <w:r w:rsidR="005C38A1" w:rsidRPr="0054315C">
        <w:rPr>
          <w:rStyle w:val="Marquedecommentaire"/>
          <w:b w:val="0"/>
          <w:sz w:val="22"/>
          <w:szCs w:val="22"/>
        </w:rPr>
        <w:commentReference w:id="9"/>
      </w:r>
      <w:r w:rsidRPr="0054315C">
        <w:rPr>
          <w:rFonts w:cs="Arial"/>
          <w:b w:val="0"/>
          <w:kern w:val="32"/>
          <w:sz w:val="22"/>
          <w:szCs w:val="22"/>
        </w:rPr>
        <w:t xml:space="preserve"> </w:t>
      </w:r>
    </w:p>
    <w:p w:rsidR="00B7060C" w:rsidRDefault="00CF6688" w:rsidP="005C38A1">
      <w:pPr>
        <w:keepLines/>
        <w:spacing w:after="240" w:line="480" w:lineRule="auto"/>
        <w:jc w:val="both"/>
        <w:rPr>
          <w:rFonts w:cs="Arial"/>
          <w:b w:val="0"/>
          <w:kern w:val="32"/>
          <w:sz w:val="22"/>
          <w:szCs w:val="22"/>
        </w:rPr>
      </w:pPr>
      <w:r>
        <w:rPr>
          <w:rFonts w:cs="Arial"/>
          <w:b w:val="0"/>
          <w:kern w:val="32"/>
          <w:sz w:val="22"/>
          <w:szCs w:val="22"/>
        </w:rPr>
        <w:t>L</w:t>
      </w:r>
      <w:r w:rsidR="00FB3ADD">
        <w:rPr>
          <w:rFonts w:cs="Arial"/>
          <w:b w:val="0"/>
          <w:kern w:val="32"/>
          <w:sz w:val="22"/>
          <w:szCs w:val="22"/>
        </w:rPr>
        <w:t>es travaux réalisés se décomposent en</w:t>
      </w:r>
      <w:r w:rsidR="00685036">
        <w:rPr>
          <w:rFonts w:cs="Arial"/>
          <w:b w:val="0"/>
          <w:kern w:val="32"/>
          <w:sz w:val="22"/>
          <w:szCs w:val="22"/>
        </w:rPr>
        <w:t xml:space="preserve"> 4 postes distincts : le terrassement, les fondations profondes, Les fondations superficielles et une modification de la charpente.</w:t>
      </w:r>
    </w:p>
    <w:p w:rsidR="00C15A25" w:rsidRDefault="00685036" w:rsidP="005C38A1">
      <w:pPr>
        <w:keepLines/>
        <w:spacing w:after="240" w:line="480" w:lineRule="auto"/>
        <w:jc w:val="both"/>
        <w:rPr>
          <w:rFonts w:cs="Arial"/>
          <w:b w:val="0"/>
          <w:kern w:val="32"/>
          <w:sz w:val="22"/>
          <w:szCs w:val="22"/>
        </w:rPr>
      </w:pPr>
      <w:r>
        <w:rPr>
          <w:rFonts w:cs="Arial"/>
          <w:b w:val="0"/>
          <w:kern w:val="32"/>
          <w:sz w:val="22"/>
          <w:szCs w:val="22"/>
        </w:rPr>
        <w:t xml:space="preserve">Les plans situés en annexes 6-8 permettent de voir la configuration des éléments ajoutés le long de la file 7. </w:t>
      </w:r>
    </w:p>
    <w:p w:rsidR="00685036" w:rsidRDefault="00685036" w:rsidP="005C38A1">
      <w:pPr>
        <w:keepLines/>
        <w:spacing w:after="240" w:line="480" w:lineRule="auto"/>
        <w:jc w:val="both"/>
        <w:rPr>
          <w:rFonts w:cs="Arial"/>
          <w:b w:val="0"/>
          <w:kern w:val="32"/>
          <w:sz w:val="22"/>
          <w:szCs w:val="22"/>
        </w:rPr>
      </w:pPr>
      <w:r>
        <w:rPr>
          <w:rFonts w:cs="Arial"/>
          <w:b w:val="0"/>
          <w:kern w:val="32"/>
          <w:sz w:val="22"/>
          <w:szCs w:val="22"/>
        </w:rPr>
        <w:t>Les fondations profondes ont été réalisées par l’</w:t>
      </w:r>
      <w:r w:rsidR="000D4554">
        <w:rPr>
          <w:rFonts w:cs="Arial"/>
          <w:b w:val="0"/>
          <w:kern w:val="32"/>
          <w:sz w:val="22"/>
          <w:szCs w:val="22"/>
        </w:rPr>
        <w:t>entreprise SOLETANCHE pour un cout total de 163 695€HT (voir détail en ann</w:t>
      </w:r>
      <w:r w:rsidR="008F67FF">
        <w:rPr>
          <w:rFonts w:cs="Arial"/>
          <w:b w:val="0"/>
          <w:kern w:val="32"/>
          <w:sz w:val="22"/>
          <w:szCs w:val="22"/>
        </w:rPr>
        <w:t>exe 6-9)</w:t>
      </w:r>
      <w:r w:rsidR="00C15A25">
        <w:rPr>
          <w:rFonts w:cs="Arial"/>
          <w:b w:val="0"/>
          <w:kern w:val="32"/>
          <w:sz w:val="22"/>
          <w:szCs w:val="22"/>
        </w:rPr>
        <w:t>. Pour ces ouvrages, les coûts réels correspondants aux travaux ont été utilisés :</w:t>
      </w:r>
    </w:p>
    <w:tbl>
      <w:tblPr>
        <w:tblpPr w:leftFromText="141" w:rightFromText="141" w:vertAnchor="text" w:horzAnchor="margin" w:tblpXSpec="center" w:tblpY="131"/>
        <w:tblW w:w="9568" w:type="dxa"/>
        <w:tblCellMar>
          <w:left w:w="70" w:type="dxa"/>
          <w:right w:w="70" w:type="dxa"/>
        </w:tblCellMar>
        <w:tblLook w:val="04A0"/>
      </w:tblPr>
      <w:tblGrid>
        <w:gridCol w:w="1380"/>
        <w:gridCol w:w="1380"/>
        <w:gridCol w:w="1380"/>
        <w:gridCol w:w="1600"/>
        <w:gridCol w:w="809"/>
        <w:gridCol w:w="1211"/>
        <w:gridCol w:w="1003"/>
        <w:gridCol w:w="1131"/>
      </w:tblGrid>
      <w:tr w:rsidR="00C15A25" w:rsidRPr="00C15A25" w:rsidTr="00C15A25">
        <w:trPr>
          <w:trHeight w:val="237"/>
        </w:trPr>
        <w:tc>
          <w:tcPr>
            <w:tcW w:w="1380" w:type="dxa"/>
            <w:tcBorders>
              <w:top w:val="single" w:sz="4" w:space="0" w:color="auto"/>
              <w:left w:val="single" w:sz="4" w:space="0" w:color="auto"/>
              <w:bottom w:val="single" w:sz="4" w:space="0" w:color="auto"/>
              <w:right w:val="single" w:sz="4" w:space="0" w:color="000000"/>
            </w:tcBorders>
            <w:shd w:val="clear" w:color="CCFFFF" w:fill="4EE257"/>
            <w:noWrap/>
            <w:vAlign w:val="bottom"/>
            <w:hideMark/>
          </w:tcPr>
          <w:p w:rsidR="00C15A25" w:rsidRPr="00C15A25" w:rsidRDefault="00C15A25" w:rsidP="00C15A25">
            <w:pPr>
              <w:overflowPunct/>
              <w:autoSpaceDE/>
              <w:autoSpaceDN/>
              <w:adjustRightInd/>
              <w:jc w:val="center"/>
              <w:rPr>
                <w:rFonts w:ascii="Calibri" w:hAnsi="Calibri"/>
                <w:color w:val="000000"/>
                <w:sz w:val="22"/>
                <w:szCs w:val="22"/>
              </w:rPr>
            </w:pPr>
            <w:r w:rsidRPr="00C15A25">
              <w:rPr>
                <w:rFonts w:ascii="Calibri" w:hAnsi="Calibri"/>
                <w:color w:val="000000"/>
                <w:sz w:val="22"/>
                <w:szCs w:val="22"/>
              </w:rPr>
              <w:t>Zone</w:t>
            </w:r>
          </w:p>
        </w:tc>
        <w:tc>
          <w:tcPr>
            <w:tcW w:w="1380" w:type="dxa"/>
            <w:tcBorders>
              <w:top w:val="single" w:sz="4" w:space="0" w:color="auto"/>
              <w:left w:val="nil"/>
              <w:bottom w:val="single" w:sz="4" w:space="0" w:color="auto"/>
              <w:right w:val="single" w:sz="4" w:space="0" w:color="000000"/>
            </w:tcBorders>
            <w:shd w:val="clear" w:color="CCFFFF" w:fill="4EE257"/>
            <w:noWrap/>
            <w:vAlign w:val="bottom"/>
            <w:hideMark/>
          </w:tcPr>
          <w:p w:rsidR="00C15A25" w:rsidRPr="00C15A25" w:rsidRDefault="00C15A25" w:rsidP="00C15A25">
            <w:pPr>
              <w:overflowPunct/>
              <w:autoSpaceDE/>
              <w:autoSpaceDN/>
              <w:adjustRightInd/>
              <w:jc w:val="center"/>
              <w:rPr>
                <w:rFonts w:ascii="Calibri" w:hAnsi="Calibri"/>
                <w:color w:val="000000"/>
                <w:sz w:val="22"/>
                <w:szCs w:val="22"/>
              </w:rPr>
            </w:pPr>
            <w:r w:rsidRPr="00C15A25">
              <w:rPr>
                <w:rFonts w:ascii="Calibri" w:hAnsi="Calibri"/>
                <w:color w:val="000000"/>
                <w:sz w:val="22"/>
                <w:szCs w:val="22"/>
              </w:rPr>
              <w:t>OC</w:t>
            </w:r>
          </w:p>
        </w:tc>
        <w:tc>
          <w:tcPr>
            <w:tcW w:w="1380" w:type="dxa"/>
            <w:tcBorders>
              <w:top w:val="single" w:sz="4" w:space="0" w:color="auto"/>
              <w:left w:val="nil"/>
              <w:bottom w:val="single" w:sz="4" w:space="0" w:color="auto"/>
              <w:right w:val="single" w:sz="4" w:space="0" w:color="000000"/>
            </w:tcBorders>
            <w:shd w:val="clear" w:color="CCFFFF" w:fill="4EE257"/>
            <w:noWrap/>
            <w:vAlign w:val="bottom"/>
            <w:hideMark/>
          </w:tcPr>
          <w:p w:rsidR="00C15A25" w:rsidRPr="00C15A25" w:rsidRDefault="00C15A25" w:rsidP="00C15A25">
            <w:pPr>
              <w:overflowPunct/>
              <w:autoSpaceDE/>
              <w:autoSpaceDN/>
              <w:adjustRightInd/>
              <w:jc w:val="center"/>
              <w:rPr>
                <w:rFonts w:ascii="Calibri" w:hAnsi="Calibri"/>
                <w:color w:val="000000"/>
                <w:sz w:val="22"/>
                <w:szCs w:val="22"/>
              </w:rPr>
            </w:pPr>
            <w:r w:rsidRPr="00C15A25">
              <w:rPr>
                <w:rFonts w:ascii="Calibri" w:hAnsi="Calibri"/>
                <w:color w:val="000000"/>
                <w:sz w:val="22"/>
                <w:szCs w:val="22"/>
              </w:rPr>
              <w:t xml:space="preserve"> Lot </w:t>
            </w:r>
          </w:p>
        </w:tc>
        <w:tc>
          <w:tcPr>
            <w:tcW w:w="1600" w:type="dxa"/>
            <w:tcBorders>
              <w:top w:val="single" w:sz="4" w:space="0" w:color="auto"/>
              <w:left w:val="nil"/>
              <w:bottom w:val="single" w:sz="4" w:space="0" w:color="auto"/>
              <w:right w:val="single" w:sz="4" w:space="0" w:color="000000"/>
            </w:tcBorders>
            <w:shd w:val="clear" w:color="CCFFFF" w:fill="4EE257"/>
            <w:noWrap/>
            <w:vAlign w:val="bottom"/>
            <w:hideMark/>
          </w:tcPr>
          <w:p w:rsidR="00C15A25" w:rsidRPr="00C15A25" w:rsidRDefault="00C15A25" w:rsidP="00C15A25">
            <w:pPr>
              <w:overflowPunct/>
              <w:autoSpaceDE/>
              <w:autoSpaceDN/>
              <w:adjustRightInd/>
              <w:jc w:val="center"/>
              <w:rPr>
                <w:rFonts w:ascii="Calibri" w:hAnsi="Calibri"/>
                <w:color w:val="000000"/>
                <w:sz w:val="22"/>
                <w:szCs w:val="22"/>
              </w:rPr>
            </w:pPr>
            <w:r w:rsidRPr="00C15A25">
              <w:rPr>
                <w:rFonts w:ascii="Calibri" w:hAnsi="Calibri"/>
                <w:color w:val="000000"/>
                <w:sz w:val="22"/>
                <w:szCs w:val="22"/>
              </w:rPr>
              <w:t>Montant</w:t>
            </w:r>
          </w:p>
        </w:tc>
        <w:tc>
          <w:tcPr>
            <w:tcW w:w="483" w:type="dxa"/>
            <w:tcBorders>
              <w:top w:val="single" w:sz="4" w:space="0" w:color="auto"/>
              <w:left w:val="nil"/>
              <w:bottom w:val="single" w:sz="4" w:space="0" w:color="auto"/>
              <w:right w:val="single" w:sz="4" w:space="0" w:color="000000"/>
            </w:tcBorders>
            <w:shd w:val="clear" w:color="CCFFFF" w:fill="4EE257"/>
            <w:noWrap/>
            <w:vAlign w:val="bottom"/>
            <w:hideMark/>
          </w:tcPr>
          <w:p w:rsidR="00C15A25" w:rsidRPr="00C15A25" w:rsidRDefault="00C15A25" w:rsidP="00C15A25">
            <w:pPr>
              <w:overflowPunct/>
              <w:autoSpaceDE/>
              <w:autoSpaceDN/>
              <w:adjustRightInd/>
              <w:jc w:val="center"/>
              <w:rPr>
                <w:rFonts w:ascii="Calibri" w:hAnsi="Calibri"/>
                <w:color w:val="000000"/>
                <w:sz w:val="22"/>
                <w:szCs w:val="22"/>
              </w:rPr>
            </w:pPr>
            <w:r w:rsidRPr="00C15A25">
              <w:rPr>
                <w:rFonts w:ascii="Calibri" w:hAnsi="Calibri"/>
                <w:color w:val="000000"/>
                <w:sz w:val="22"/>
                <w:szCs w:val="22"/>
              </w:rPr>
              <w:t>N° cde</w:t>
            </w:r>
          </w:p>
        </w:tc>
        <w:tc>
          <w:tcPr>
            <w:tcW w:w="1211" w:type="dxa"/>
            <w:tcBorders>
              <w:top w:val="single" w:sz="4" w:space="0" w:color="auto"/>
              <w:left w:val="nil"/>
              <w:bottom w:val="single" w:sz="4" w:space="0" w:color="auto"/>
              <w:right w:val="single" w:sz="4" w:space="0" w:color="000000"/>
            </w:tcBorders>
            <w:shd w:val="clear" w:color="CCFFFF" w:fill="4EE257"/>
            <w:noWrap/>
            <w:vAlign w:val="bottom"/>
            <w:hideMark/>
          </w:tcPr>
          <w:p w:rsidR="00C15A25" w:rsidRPr="00C15A25" w:rsidRDefault="00C15A25" w:rsidP="00C15A25">
            <w:pPr>
              <w:overflowPunct/>
              <w:autoSpaceDE/>
              <w:autoSpaceDN/>
              <w:adjustRightInd/>
              <w:jc w:val="center"/>
              <w:rPr>
                <w:rFonts w:ascii="Calibri" w:hAnsi="Calibri"/>
                <w:color w:val="000000"/>
                <w:sz w:val="22"/>
                <w:szCs w:val="22"/>
              </w:rPr>
            </w:pPr>
            <w:r w:rsidRPr="00C15A25">
              <w:rPr>
                <w:rFonts w:ascii="Calibri" w:hAnsi="Calibri"/>
                <w:color w:val="000000"/>
                <w:sz w:val="22"/>
                <w:szCs w:val="22"/>
              </w:rPr>
              <w:t>Fournisseur</w:t>
            </w:r>
          </w:p>
        </w:tc>
        <w:tc>
          <w:tcPr>
            <w:tcW w:w="1003" w:type="dxa"/>
            <w:tcBorders>
              <w:top w:val="single" w:sz="4" w:space="0" w:color="auto"/>
              <w:left w:val="nil"/>
              <w:bottom w:val="single" w:sz="4" w:space="0" w:color="auto"/>
              <w:right w:val="single" w:sz="4" w:space="0" w:color="000000"/>
            </w:tcBorders>
            <w:shd w:val="clear" w:color="CCFFFF" w:fill="4EE257"/>
            <w:noWrap/>
            <w:vAlign w:val="bottom"/>
            <w:hideMark/>
          </w:tcPr>
          <w:p w:rsidR="00C15A25" w:rsidRPr="00C15A25" w:rsidRDefault="00C15A25" w:rsidP="00C15A25">
            <w:pPr>
              <w:overflowPunct/>
              <w:autoSpaceDE/>
              <w:autoSpaceDN/>
              <w:adjustRightInd/>
              <w:jc w:val="center"/>
              <w:rPr>
                <w:rFonts w:ascii="Calibri" w:hAnsi="Calibri"/>
                <w:color w:val="000000"/>
                <w:sz w:val="22"/>
                <w:szCs w:val="22"/>
              </w:rPr>
            </w:pPr>
            <w:r w:rsidRPr="00C15A25">
              <w:rPr>
                <w:rFonts w:ascii="Calibri" w:hAnsi="Calibri"/>
                <w:color w:val="000000"/>
                <w:sz w:val="22"/>
                <w:szCs w:val="22"/>
              </w:rPr>
              <w:t>ORG</w:t>
            </w:r>
          </w:p>
        </w:tc>
        <w:tc>
          <w:tcPr>
            <w:tcW w:w="1131" w:type="dxa"/>
            <w:tcBorders>
              <w:top w:val="single" w:sz="4" w:space="0" w:color="auto"/>
              <w:left w:val="nil"/>
              <w:bottom w:val="single" w:sz="4" w:space="0" w:color="auto"/>
              <w:right w:val="single" w:sz="4" w:space="0" w:color="auto"/>
            </w:tcBorders>
            <w:shd w:val="clear" w:color="CCFFFF" w:fill="4EE257"/>
            <w:noWrap/>
            <w:vAlign w:val="bottom"/>
            <w:hideMark/>
          </w:tcPr>
          <w:p w:rsidR="00C15A25" w:rsidRPr="00C15A25" w:rsidRDefault="00C15A25" w:rsidP="00C15A25">
            <w:pPr>
              <w:overflowPunct/>
              <w:autoSpaceDE/>
              <w:autoSpaceDN/>
              <w:adjustRightInd/>
              <w:jc w:val="center"/>
              <w:rPr>
                <w:rFonts w:ascii="Calibri" w:hAnsi="Calibri"/>
                <w:color w:val="000000"/>
                <w:sz w:val="22"/>
                <w:szCs w:val="22"/>
              </w:rPr>
            </w:pPr>
            <w:r w:rsidRPr="00C15A25">
              <w:rPr>
                <w:rFonts w:ascii="Calibri" w:hAnsi="Calibri"/>
                <w:color w:val="000000"/>
                <w:sz w:val="22"/>
                <w:szCs w:val="22"/>
              </w:rPr>
              <w:t>Facture</w:t>
            </w:r>
          </w:p>
        </w:tc>
      </w:tr>
      <w:tr w:rsidR="00C15A25" w:rsidRPr="00C15A25" w:rsidTr="00C15A25">
        <w:trPr>
          <w:trHeight w:val="237"/>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MAT</w:t>
            </w:r>
          </w:p>
        </w:tc>
        <w:tc>
          <w:tcPr>
            <w:tcW w:w="1380"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Verdana" w:hAnsi="Verdana"/>
                <w:b w:val="0"/>
                <w:bCs w:val="0"/>
                <w:sz w:val="20"/>
              </w:rPr>
            </w:pPr>
            <w:r w:rsidRPr="00C15A25">
              <w:rPr>
                <w:rFonts w:ascii="Verdana" w:hAnsi="Verdana"/>
                <w:b w:val="0"/>
                <w:bCs w:val="0"/>
                <w:sz w:val="20"/>
              </w:rPr>
              <w:t xml:space="preserve"> OC15 </w:t>
            </w:r>
          </w:p>
        </w:tc>
        <w:tc>
          <w:tcPr>
            <w:tcW w:w="1380"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cs="Arial"/>
                <w:b w:val="0"/>
                <w:bCs w:val="0"/>
                <w:sz w:val="20"/>
              </w:rPr>
            </w:pPr>
            <w:r w:rsidRPr="00C15A25">
              <w:rPr>
                <w:rFonts w:cs="Arial"/>
                <w:b w:val="0"/>
                <w:bCs w:val="0"/>
                <w:sz w:val="20"/>
              </w:rPr>
              <w:t xml:space="preserve"> 2 </w:t>
            </w:r>
          </w:p>
        </w:tc>
        <w:tc>
          <w:tcPr>
            <w:tcW w:w="1600"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 xml:space="preserve">       159 916,00  </w:t>
            </w:r>
          </w:p>
        </w:tc>
        <w:tc>
          <w:tcPr>
            <w:tcW w:w="483"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MO387</w:t>
            </w:r>
          </w:p>
        </w:tc>
        <w:tc>
          <w:tcPr>
            <w:tcW w:w="1211"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SOL</w:t>
            </w:r>
          </w:p>
        </w:tc>
        <w:tc>
          <w:tcPr>
            <w:tcW w:w="1003"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MOA</w:t>
            </w:r>
          </w:p>
        </w:tc>
        <w:tc>
          <w:tcPr>
            <w:tcW w:w="1131"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 xml:space="preserve"> Y09222 </w:t>
            </w:r>
          </w:p>
        </w:tc>
      </w:tr>
      <w:tr w:rsidR="00C15A25" w:rsidRPr="00C15A25" w:rsidTr="00C15A25">
        <w:trPr>
          <w:trHeight w:val="237"/>
        </w:trPr>
        <w:tc>
          <w:tcPr>
            <w:tcW w:w="1380" w:type="dxa"/>
            <w:tcBorders>
              <w:top w:val="nil"/>
              <w:left w:val="single" w:sz="4" w:space="0" w:color="auto"/>
              <w:bottom w:val="nil"/>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MAT</w:t>
            </w:r>
          </w:p>
        </w:tc>
        <w:tc>
          <w:tcPr>
            <w:tcW w:w="1380" w:type="dxa"/>
            <w:tcBorders>
              <w:top w:val="nil"/>
              <w:left w:val="nil"/>
              <w:bottom w:val="nil"/>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Verdana" w:hAnsi="Verdana"/>
                <w:b w:val="0"/>
                <w:bCs w:val="0"/>
                <w:sz w:val="20"/>
              </w:rPr>
            </w:pPr>
            <w:r w:rsidRPr="00C15A25">
              <w:rPr>
                <w:rFonts w:ascii="Verdana" w:hAnsi="Verdana"/>
                <w:b w:val="0"/>
                <w:bCs w:val="0"/>
                <w:sz w:val="20"/>
              </w:rPr>
              <w:t xml:space="preserve"> OC15 </w:t>
            </w:r>
          </w:p>
        </w:tc>
        <w:tc>
          <w:tcPr>
            <w:tcW w:w="1380" w:type="dxa"/>
            <w:tcBorders>
              <w:top w:val="nil"/>
              <w:left w:val="nil"/>
              <w:bottom w:val="nil"/>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cs="Arial"/>
                <w:b w:val="0"/>
                <w:bCs w:val="0"/>
                <w:sz w:val="20"/>
              </w:rPr>
            </w:pPr>
            <w:r w:rsidRPr="00C15A25">
              <w:rPr>
                <w:rFonts w:cs="Arial"/>
                <w:b w:val="0"/>
                <w:bCs w:val="0"/>
                <w:sz w:val="20"/>
              </w:rPr>
              <w:t xml:space="preserve"> 2 </w:t>
            </w:r>
          </w:p>
        </w:tc>
        <w:tc>
          <w:tcPr>
            <w:tcW w:w="1600" w:type="dxa"/>
            <w:tcBorders>
              <w:top w:val="nil"/>
              <w:left w:val="nil"/>
              <w:bottom w:val="nil"/>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 xml:space="preserve">           3 778,54  </w:t>
            </w:r>
          </w:p>
        </w:tc>
        <w:tc>
          <w:tcPr>
            <w:tcW w:w="483"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MO473</w:t>
            </w:r>
          </w:p>
        </w:tc>
        <w:tc>
          <w:tcPr>
            <w:tcW w:w="1211"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SOL</w:t>
            </w:r>
          </w:p>
        </w:tc>
        <w:tc>
          <w:tcPr>
            <w:tcW w:w="1003"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MOA</w:t>
            </w:r>
          </w:p>
        </w:tc>
        <w:tc>
          <w:tcPr>
            <w:tcW w:w="1131" w:type="dxa"/>
            <w:tcBorders>
              <w:top w:val="nil"/>
              <w:left w:val="nil"/>
              <w:bottom w:val="single" w:sz="4" w:space="0" w:color="auto"/>
              <w:right w:val="single" w:sz="4" w:space="0" w:color="auto"/>
            </w:tcBorders>
            <w:shd w:val="clear" w:color="auto" w:fill="auto"/>
            <w:noWrap/>
            <w:vAlign w:val="bottom"/>
            <w:hideMark/>
          </w:tcPr>
          <w:p w:rsidR="00C15A25" w:rsidRPr="00C15A25" w:rsidRDefault="00C15A25" w:rsidP="00C15A25">
            <w:pPr>
              <w:overflowPunct/>
              <w:autoSpaceDE/>
              <w:autoSpaceDN/>
              <w:adjustRightInd/>
              <w:jc w:val="center"/>
              <w:rPr>
                <w:rFonts w:ascii="Calibri" w:hAnsi="Calibri"/>
                <w:b w:val="0"/>
                <w:bCs w:val="0"/>
                <w:color w:val="000000"/>
                <w:sz w:val="22"/>
                <w:szCs w:val="22"/>
              </w:rPr>
            </w:pPr>
            <w:r w:rsidRPr="00C15A25">
              <w:rPr>
                <w:rFonts w:ascii="Calibri" w:hAnsi="Calibri"/>
                <w:b w:val="0"/>
                <w:bCs w:val="0"/>
                <w:color w:val="000000"/>
                <w:sz w:val="22"/>
                <w:szCs w:val="22"/>
              </w:rPr>
              <w:t xml:space="preserve"> Y09266 </w:t>
            </w:r>
          </w:p>
        </w:tc>
      </w:tr>
      <w:tr w:rsidR="00C15A25" w:rsidRPr="00C15A25" w:rsidTr="00C15A25">
        <w:trPr>
          <w:trHeight w:val="403"/>
        </w:trPr>
        <w:tc>
          <w:tcPr>
            <w:tcW w:w="4140" w:type="dxa"/>
            <w:gridSpan w:val="3"/>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C15A25" w:rsidRPr="00C15A25" w:rsidRDefault="00C15A25" w:rsidP="00C15A25">
            <w:pPr>
              <w:overflowPunct/>
              <w:autoSpaceDE/>
              <w:autoSpaceDN/>
              <w:adjustRightInd/>
              <w:jc w:val="center"/>
              <w:rPr>
                <w:rFonts w:ascii="Verdana" w:hAnsi="Verdana"/>
                <w:b w:val="0"/>
                <w:bCs w:val="0"/>
                <w:sz w:val="20"/>
              </w:rPr>
            </w:pPr>
            <w:r w:rsidRPr="00C15A25">
              <w:rPr>
                <w:rFonts w:ascii="Verdana" w:hAnsi="Verdana"/>
                <w:b w:val="0"/>
                <w:bCs w:val="0"/>
                <w:sz w:val="20"/>
              </w:rPr>
              <w:t>Total Fondations Profondes Nouvelle Fondation 7 MAT</w:t>
            </w:r>
          </w:p>
        </w:tc>
        <w:tc>
          <w:tcPr>
            <w:tcW w:w="1600" w:type="dxa"/>
            <w:tcBorders>
              <w:top w:val="single" w:sz="4" w:space="0" w:color="auto"/>
              <w:left w:val="nil"/>
              <w:bottom w:val="single" w:sz="4" w:space="0" w:color="auto"/>
              <w:right w:val="single" w:sz="4" w:space="0" w:color="auto"/>
            </w:tcBorders>
            <w:shd w:val="clear" w:color="000000" w:fill="92D050"/>
            <w:noWrap/>
            <w:vAlign w:val="center"/>
            <w:hideMark/>
          </w:tcPr>
          <w:p w:rsidR="00C15A25" w:rsidRPr="00C15A25" w:rsidRDefault="00C15A25" w:rsidP="00C15A25">
            <w:pPr>
              <w:overflowPunct/>
              <w:autoSpaceDE/>
              <w:autoSpaceDN/>
              <w:adjustRightInd/>
              <w:rPr>
                <w:rFonts w:ascii="Verdana" w:hAnsi="Verdana"/>
                <w:sz w:val="20"/>
              </w:rPr>
            </w:pPr>
            <w:r w:rsidRPr="00C15A25">
              <w:rPr>
                <w:rFonts w:ascii="Verdana" w:hAnsi="Verdana"/>
                <w:sz w:val="20"/>
              </w:rPr>
              <w:t xml:space="preserve">     163 695  </w:t>
            </w:r>
          </w:p>
        </w:tc>
        <w:tc>
          <w:tcPr>
            <w:tcW w:w="483" w:type="dxa"/>
            <w:tcBorders>
              <w:top w:val="nil"/>
              <w:left w:val="nil"/>
              <w:bottom w:val="nil"/>
              <w:right w:val="nil"/>
            </w:tcBorders>
            <w:shd w:val="clear" w:color="auto" w:fill="auto"/>
            <w:noWrap/>
            <w:vAlign w:val="bottom"/>
            <w:hideMark/>
          </w:tcPr>
          <w:p w:rsidR="00C15A25" w:rsidRDefault="00C15A25" w:rsidP="00C15A25">
            <w:pPr>
              <w:overflowPunct/>
              <w:autoSpaceDE/>
              <w:autoSpaceDN/>
              <w:adjustRightInd/>
              <w:rPr>
                <w:rFonts w:ascii="Verdana" w:hAnsi="Verdana"/>
                <w:b w:val="0"/>
                <w:bCs w:val="0"/>
                <w:sz w:val="20"/>
              </w:rPr>
            </w:pPr>
          </w:p>
          <w:p w:rsidR="00824FF1" w:rsidRPr="00C15A25" w:rsidRDefault="00824FF1" w:rsidP="00C15A25">
            <w:pPr>
              <w:overflowPunct/>
              <w:autoSpaceDE/>
              <w:autoSpaceDN/>
              <w:adjustRightInd/>
              <w:rPr>
                <w:rFonts w:ascii="Verdana" w:hAnsi="Verdana"/>
                <w:b w:val="0"/>
                <w:bCs w:val="0"/>
                <w:sz w:val="20"/>
              </w:rPr>
            </w:pPr>
          </w:p>
        </w:tc>
        <w:tc>
          <w:tcPr>
            <w:tcW w:w="1211" w:type="dxa"/>
            <w:tcBorders>
              <w:top w:val="nil"/>
              <w:left w:val="nil"/>
              <w:bottom w:val="nil"/>
              <w:right w:val="nil"/>
            </w:tcBorders>
            <w:shd w:val="clear" w:color="auto" w:fill="auto"/>
            <w:noWrap/>
            <w:vAlign w:val="bottom"/>
            <w:hideMark/>
          </w:tcPr>
          <w:p w:rsidR="00C15A25" w:rsidRPr="00C15A25" w:rsidRDefault="00C15A25" w:rsidP="00C15A25">
            <w:pPr>
              <w:overflowPunct/>
              <w:autoSpaceDE/>
              <w:autoSpaceDN/>
              <w:adjustRightInd/>
              <w:rPr>
                <w:rFonts w:ascii="Verdana" w:hAnsi="Verdana"/>
                <w:b w:val="0"/>
                <w:bCs w:val="0"/>
                <w:sz w:val="20"/>
              </w:rPr>
            </w:pPr>
          </w:p>
        </w:tc>
        <w:tc>
          <w:tcPr>
            <w:tcW w:w="1003" w:type="dxa"/>
            <w:tcBorders>
              <w:top w:val="nil"/>
              <w:left w:val="nil"/>
              <w:bottom w:val="nil"/>
              <w:right w:val="nil"/>
            </w:tcBorders>
            <w:shd w:val="clear" w:color="auto" w:fill="auto"/>
            <w:noWrap/>
            <w:vAlign w:val="bottom"/>
            <w:hideMark/>
          </w:tcPr>
          <w:p w:rsidR="00C15A25" w:rsidRPr="00C15A25" w:rsidRDefault="00C15A25" w:rsidP="00C15A25">
            <w:pPr>
              <w:overflowPunct/>
              <w:autoSpaceDE/>
              <w:autoSpaceDN/>
              <w:adjustRightInd/>
              <w:rPr>
                <w:rFonts w:ascii="Verdana" w:hAnsi="Verdana"/>
                <w:b w:val="0"/>
                <w:bCs w:val="0"/>
                <w:sz w:val="20"/>
              </w:rPr>
            </w:pPr>
          </w:p>
        </w:tc>
        <w:tc>
          <w:tcPr>
            <w:tcW w:w="1131" w:type="dxa"/>
            <w:tcBorders>
              <w:top w:val="nil"/>
              <w:left w:val="nil"/>
              <w:bottom w:val="nil"/>
              <w:right w:val="nil"/>
            </w:tcBorders>
            <w:shd w:val="clear" w:color="auto" w:fill="auto"/>
            <w:noWrap/>
            <w:vAlign w:val="bottom"/>
            <w:hideMark/>
          </w:tcPr>
          <w:p w:rsidR="00C15A25" w:rsidRPr="00C15A25" w:rsidRDefault="00C15A25" w:rsidP="00C15A25">
            <w:pPr>
              <w:overflowPunct/>
              <w:autoSpaceDE/>
              <w:autoSpaceDN/>
              <w:adjustRightInd/>
              <w:rPr>
                <w:rFonts w:ascii="Verdana" w:hAnsi="Verdana"/>
                <w:b w:val="0"/>
                <w:bCs w:val="0"/>
                <w:sz w:val="20"/>
              </w:rPr>
            </w:pPr>
          </w:p>
        </w:tc>
      </w:tr>
    </w:tbl>
    <w:p w:rsidR="00824FF1" w:rsidRDefault="00824FF1" w:rsidP="005C38A1">
      <w:pPr>
        <w:keepLines/>
        <w:spacing w:after="240" w:line="480" w:lineRule="auto"/>
        <w:jc w:val="both"/>
        <w:rPr>
          <w:b w:val="0"/>
          <w:sz w:val="22"/>
          <w:szCs w:val="22"/>
        </w:rPr>
      </w:pPr>
      <w:r>
        <w:rPr>
          <w:b w:val="0"/>
          <w:sz w:val="22"/>
          <w:szCs w:val="22"/>
        </w:rPr>
        <w:t xml:space="preserve">Les fondations profondes ont été réalisées entre juin et juillet 2009. L’indice moyen a3m pour cette période était de 1,4780. </w:t>
      </w:r>
      <w:r w:rsidRPr="00824FF1">
        <w:rPr>
          <w:b w:val="0"/>
          <w:sz w:val="22"/>
          <w:szCs w:val="22"/>
          <w:highlight w:val="yellow"/>
        </w:rPr>
        <w:t>Le montant actualisé au XX/XX/XXXX est donc de (=163 695* /1,4780)</w:t>
      </w:r>
    </w:p>
    <w:p w:rsidR="00824FF1" w:rsidRDefault="00824FF1" w:rsidP="005C38A1">
      <w:pPr>
        <w:keepLines/>
        <w:spacing w:after="240" w:line="480" w:lineRule="auto"/>
        <w:jc w:val="both"/>
        <w:rPr>
          <w:b w:val="0"/>
          <w:sz w:val="22"/>
          <w:szCs w:val="22"/>
        </w:rPr>
      </w:pPr>
    </w:p>
    <w:p w:rsidR="00085694" w:rsidRDefault="00C15A25" w:rsidP="005C38A1">
      <w:pPr>
        <w:keepLines/>
        <w:spacing w:after="240" w:line="480" w:lineRule="auto"/>
        <w:jc w:val="both"/>
        <w:rPr>
          <w:b w:val="0"/>
          <w:sz w:val="22"/>
          <w:szCs w:val="22"/>
        </w:rPr>
      </w:pPr>
      <w:r>
        <w:rPr>
          <w:b w:val="0"/>
          <w:sz w:val="22"/>
          <w:szCs w:val="22"/>
        </w:rPr>
        <w:t xml:space="preserve">Pour les terrassements complémentaires, le coût correspond </w:t>
      </w:r>
      <w:r w:rsidR="009B415D">
        <w:rPr>
          <w:b w:val="0"/>
          <w:sz w:val="22"/>
          <w:szCs w:val="22"/>
        </w:rPr>
        <w:t>à la fa</w:t>
      </w:r>
      <w:bookmarkStart w:id="10" w:name="_GoBack"/>
      <w:bookmarkEnd w:id="10"/>
      <w:r w:rsidR="009B415D">
        <w:rPr>
          <w:b w:val="0"/>
          <w:sz w:val="22"/>
          <w:szCs w:val="22"/>
        </w:rPr>
        <w:t>cturation</w:t>
      </w:r>
      <w:r>
        <w:rPr>
          <w:b w:val="0"/>
          <w:sz w:val="22"/>
          <w:szCs w:val="22"/>
        </w:rPr>
        <w:t xml:space="preserve"> de nos sous-traitants pour ces travaux. Le détail des s</w:t>
      </w:r>
      <w:r w:rsidR="003F716C">
        <w:rPr>
          <w:b w:val="0"/>
          <w:sz w:val="22"/>
          <w:szCs w:val="22"/>
        </w:rPr>
        <w:t>ous-traitants qui ont travaillé</w:t>
      </w:r>
      <w:r>
        <w:rPr>
          <w:b w:val="0"/>
          <w:sz w:val="22"/>
          <w:szCs w:val="22"/>
        </w:rPr>
        <w:t xml:space="preserve"> sur cette zone, les références aux factures et aux commandes relatives à ces travaux sont en annexe 6-</w:t>
      </w:r>
      <w:r w:rsidR="009B415D">
        <w:rPr>
          <w:b w:val="0"/>
          <w:sz w:val="22"/>
          <w:szCs w:val="22"/>
        </w:rPr>
        <w:t>10</w:t>
      </w:r>
      <w:r>
        <w:rPr>
          <w:b w:val="0"/>
          <w:sz w:val="22"/>
          <w:szCs w:val="22"/>
        </w:rPr>
        <w:t xml:space="preserve">. Le coût correspondant aux terrassements est de 48 065 €HT.  </w:t>
      </w:r>
      <w:r w:rsidR="00085694" w:rsidRPr="00085694">
        <w:rPr>
          <w:noProof/>
        </w:rPr>
        <w:drawing>
          <wp:inline distT="0" distB="0" distL="0" distR="0">
            <wp:extent cx="5760720" cy="646462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464628"/>
                    </a:xfrm>
                    <a:prstGeom prst="rect">
                      <a:avLst/>
                    </a:prstGeom>
                    <a:noFill/>
                    <a:ln>
                      <a:noFill/>
                    </a:ln>
                  </pic:spPr>
                </pic:pic>
              </a:graphicData>
            </a:graphic>
          </wp:inline>
        </w:drawing>
      </w:r>
    </w:p>
    <w:p w:rsidR="00824FF1" w:rsidRDefault="00824FF1" w:rsidP="00824FF1">
      <w:pPr>
        <w:keepLines/>
        <w:spacing w:after="240" w:line="480" w:lineRule="auto"/>
        <w:jc w:val="both"/>
        <w:rPr>
          <w:b w:val="0"/>
          <w:sz w:val="22"/>
          <w:szCs w:val="22"/>
        </w:rPr>
      </w:pPr>
      <w:r>
        <w:rPr>
          <w:b w:val="0"/>
          <w:sz w:val="22"/>
          <w:szCs w:val="22"/>
        </w:rPr>
        <w:t>Ces travaux ont été réalisés dans la même période que les fondations spéciales, le montant actualisé au XX/XX/XXXX est donc de (=48 065* /1,4780).</w:t>
      </w:r>
    </w:p>
    <w:p w:rsidR="00824FF1" w:rsidRDefault="00824FF1" w:rsidP="005C38A1">
      <w:pPr>
        <w:keepLines/>
        <w:spacing w:after="240" w:line="480" w:lineRule="auto"/>
        <w:jc w:val="both"/>
        <w:rPr>
          <w:b w:val="0"/>
          <w:sz w:val="22"/>
          <w:szCs w:val="22"/>
        </w:rPr>
      </w:pPr>
    </w:p>
    <w:p w:rsidR="00DC1227" w:rsidRDefault="009B415D" w:rsidP="005C38A1">
      <w:pPr>
        <w:keepLines/>
        <w:spacing w:after="240" w:line="480" w:lineRule="auto"/>
        <w:jc w:val="both"/>
        <w:rPr>
          <w:b w:val="0"/>
          <w:sz w:val="22"/>
          <w:szCs w:val="22"/>
        </w:rPr>
      </w:pPr>
      <w:r>
        <w:rPr>
          <w:b w:val="0"/>
          <w:sz w:val="22"/>
          <w:szCs w:val="22"/>
        </w:rPr>
        <w:t xml:space="preserve">Pour les longrines situées le long de la file 7, le cubage béton a été calculé, puis ensuite une extrapolation des coûts « SAGE » a permis d’arriver au montant de 229 843 €HT (détail </w:t>
      </w:r>
      <w:r w:rsidR="00085694">
        <w:rPr>
          <w:b w:val="0"/>
          <w:sz w:val="22"/>
          <w:szCs w:val="22"/>
        </w:rPr>
        <w:t>ci-dessous</w:t>
      </w:r>
      <w:r>
        <w:rPr>
          <w:b w:val="0"/>
          <w:sz w:val="22"/>
          <w:szCs w:val="22"/>
        </w:rPr>
        <w:t>)</w:t>
      </w:r>
      <w:r w:rsidR="00DC1227">
        <w:rPr>
          <w:b w:val="0"/>
          <w:sz w:val="22"/>
          <w:szCs w:val="22"/>
        </w:rPr>
        <w:t>.</w:t>
      </w:r>
    </w:p>
    <w:p w:rsidR="00085694" w:rsidRDefault="00085694" w:rsidP="005C38A1">
      <w:pPr>
        <w:keepLines/>
        <w:spacing w:after="240" w:line="480" w:lineRule="auto"/>
        <w:jc w:val="both"/>
        <w:rPr>
          <w:b w:val="0"/>
          <w:sz w:val="22"/>
          <w:szCs w:val="22"/>
        </w:rPr>
      </w:pPr>
      <w:r w:rsidRPr="00085694">
        <w:rPr>
          <w:noProof/>
        </w:rPr>
        <w:drawing>
          <wp:inline distT="0" distB="0" distL="0" distR="0">
            <wp:extent cx="5760720" cy="453787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537871"/>
                    </a:xfrm>
                    <a:prstGeom prst="rect">
                      <a:avLst/>
                    </a:prstGeom>
                    <a:noFill/>
                    <a:ln>
                      <a:noFill/>
                    </a:ln>
                  </pic:spPr>
                </pic:pic>
              </a:graphicData>
            </a:graphic>
          </wp:inline>
        </w:drawing>
      </w:r>
    </w:p>
    <w:p w:rsidR="00824FF1" w:rsidRDefault="00824FF1" w:rsidP="005C38A1">
      <w:pPr>
        <w:keepLines/>
        <w:spacing w:after="240" w:line="480" w:lineRule="auto"/>
        <w:jc w:val="both"/>
        <w:rPr>
          <w:b w:val="0"/>
          <w:sz w:val="22"/>
          <w:szCs w:val="22"/>
        </w:rPr>
      </w:pPr>
      <w:r>
        <w:rPr>
          <w:b w:val="0"/>
          <w:sz w:val="22"/>
          <w:szCs w:val="22"/>
        </w:rPr>
        <w:t>Ces travaux ont été réalisés entre août et novembre 2009. L’indice d’actualisation a3m moyen pour cette période était de 1,5688</w:t>
      </w:r>
      <w:r w:rsidRPr="0011750D">
        <w:rPr>
          <w:b w:val="0"/>
          <w:sz w:val="22"/>
          <w:szCs w:val="22"/>
          <w:highlight w:val="yellow"/>
        </w:rPr>
        <w:t>. Le montant actualisé au XX/XX/XXXX est donc de (=229843* /1,5688)</w:t>
      </w:r>
    </w:p>
    <w:p w:rsidR="009B415D" w:rsidRDefault="00DC1227" w:rsidP="005C38A1">
      <w:pPr>
        <w:keepLines/>
        <w:spacing w:after="240" w:line="480" w:lineRule="auto"/>
        <w:jc w:val="both"/>
        <w:rPr>
          <w:b w:val="0"/>
          <w:sz w:val="22"/>
          <w:szCs w:val="22"/>
        </w:rPr>
      </w:pPr>
      <w:r>
        <w:rPr>
          <w:b w:val="0"/>
          <w:sz w:val="22"/>
          <w:szCs w:val="22"/>
        </w:rPr>
        <w:t xml:space="preserve">Des modifications des charpentes de l’Entreprise Fargeot ont abouti à un surcoût de </w:t>
      </w:r>
      <w:r w:rsidR="002726E1">
        <w:rPr>
          <w:b w:val="0"/>
          <w:sz w:val="22"/>
          <w:szCs w:val="22"/>
        </w:rPr>
        <w:t>28 820</w:t>
      </w:r>
      <w:r>
        <w:rPr>
          <w:b w:val="0"/>
          <w:sz w:val="22"/>
          <w:szCs w:val="22"/>
        </w:rPr>
        <w:t>€</w:t>
      </w:r>
      <w:commentRangeStart w:id="11"/>
      <w:r>
        <w:rPr>
          <w:b w:val="0"/>
          <w:sz w:val="22"/>
          <w:szCs w:val="22"/>
        </w:rPr>
        <w:t>HT</w:t>
      </w:r>
      <w:commentRangeEnd w:id="11"/>
      <w:r w:rsidR="00AB64AE">
        <w:rPr>
          <w:rStyle w:val="Marquedecommentaire"/>
          <w:rFonts w:ascii="Calibri" w:hAnsi="Calibri"/>
          <w:b w:val="0"/>
          <w:bCs w:val="0"/>
          <w:lang w:eastAsia="en-US"/>
        </w:rPr>
        <w:commentReference w:id="11"/>
      </w:r>
      <w:r w:rsidR="009B415D">
        <w:rPr>
          <w:b w:val="0"/>
          <w:sz w:val="22"/>
          <w:szCs w:val="22"/>
        </w:rPr>
        <w:t>.</w:t>
      </w:r>
      <w:r>
        <w:rPr>
          <w:b w:val="0"/>
          <w:sz w:val="22"/>
          <w:szCs w:val="22"/>
        </w:rPr>
        <w:t xml:space="preserve"> Le détail des travaux correspondants est situé en annexe 6-1</w:t>
      </w:r>
      <w:r w:rsidR="002726E1">
        <w:rPr>
          <w:b w:val="0"/>
          <w:sz w:val="22"/>
          <w:szCs w:val="22"/>
        </w:rPr>
        <w:t>1</w:t>
      </w:r>
      <w:r>
        <w:rPr>
          <w:b w:val="0"/>
          <w:sz w:val="22"/>
          <w:szCs w:val="22"/>
        </w:rPr>
        <w:t>.</w:t>
      </w:r>
      <w:r w:rsidR="002726E1">
        <w:rPr>
          <w:b w:val="0"/>
          <w:sz w:val="22"/>
          <w:szCs w:val="22"/>
        </w:rPr>
        <w:t xml:space="preserve"> Cette somme correspond aux postes de l’offre </w:t>
      </w:r>
      <w:proofErr w:type="spellStart"/>
      <w:r w:rsidR="002726E1">
        <w:rPr>
          <w:b w:val="0"/>
          <w:sz w:val="22"/>
          <w:szCs w:val="22"/>
        </w:rPr>
        <w:t>Fargeot</w:t>
      </w:r>
      <w:proofErr w:type="spellEnd"/>
      <w:r w:rsidR="002726E1">
        <w:rPr>
          <w:b w:val="0"/>
          <w:sz w:val="22"/>
          <w:szCs w:val="22"/>
        </w:rPr>
        <w:t> : démontage de l’ossature (3400€), recoupe des poteaux métalliques (2150€), adaptation de la file 07 MAT (4300€), bonus de maintien du planning (7000€), reprise des modifications file 01 MAT et poutres treillis (11970€)</w:t>
      </w:r>
      <w:r w:rsidR="0011750D">
        <w:rPr>
          <w:b w:val="0"/>
          <w:sz w:val="22"/>
          <w:szCs w:val="22"/>
        </w:rPr>
        <w:t>.</w:t>
      </w:r>
    </w:p>
    <w:p w:rsidR="0011750D" w:rsidRDefault="0011750D" w:rsidP="005C38A1">
      <w:pPr>
        <w:keepLines/>
        <w:spacing w:after="240" w:line="480" w:lineRule="auto"/>
        <w:jc w:val="both"/>
        <w:rPr>
          <w:b w:val="0"/>
          <w:sz w:val="22"/>
          <w:szCs w:val="22"/>
        </w:rPr>
      </w:pPr>
      <w:r>
        <w:rPr>
          <w:b w:val="0"/>
          <w:sz w:val="22"/>
          <w:szCs w:val="22"/>
        </w:rPr>
        <w:t xml:space="preserve">Ces travaux se sont déroulés de février à mars 2010. L’indice moyen a3m sur cette période est de 1,1787. Le montant actualisé au </w:t>
      </w:r>
      <w:r w:rsidRPr="0011750D">
        <w:rPr>
          <w:b w:val="0"/>
          <w:sz w:val="22"/>
          <w:szCs w:val="22"/>
          <w:highlight w:val="yellow"/>
        </w:rPr>
        <w:t>XX/XX/XXXX est donc (=28820* /1,1787)</w:t>
      </w:r>
    </w:p>
    <w:p w:rsidR="0011750D" w:rsidRDefault="0011750D" w:rsidP="005C38A1">
      <w:pPr>
        <w:keepLines/>
        <w:spacing w:after="240" w:line="480" w:lineRule="auto"/>
        <w:jc w:val="both"/>
        <w:rPr>
          <w:b w:val="0"/>
          <w:sz w:val="22"/>
          <w:szCs w:val="22"/>
        </w:rPr>
      </w:pPr>
    </w:p>
    <w:p w:rsidR="00EF12E0" w:rsidRDefault="009B415D" w:rsidP="005C38A1">
      <w:pPr>
        <w:keepLines/>
        <w:spacing w:after="240" w:line="480" w:lineRule="auto"/>
        <w:jc w:val="both"/>
        <w:rPr>
          <w:b w:val="0"/>
          <w:sz w:val="22"/>
          <w:szCs w:val="22"/>
        </w:rPr>
      </w:pPr>
      <w:r>
        <w:rPr>
          <w:b w:val="0"/>
          <w:sz w:val="22"/>
          <w:szCs w:val="22"/>
        </w:rPr>
        <w:t xml:space="preserve"> </w:t>
      </w:r>
      <w:r w:rsidR="00DC1227">
        <w:rPr>
          <w:b w:val="0"/>
          <w:sz w:val="22"/>
          <w:szCs w:val="22"/>
        </w:rPr>
        <w:t>Ainsi, les travaux indispensables pour permettre une extension de la méthanisation telle que demandée dans le projet « Caselli » représentent un total de (</w:t>
      </w:r>
      <w:r w:rsidR="0011750D">
        <w:rPr>
          <w:b w:val="0"/>
          <w:sz w:val="22"/>
          <w:szCs w:val="22"/>
          <w:highlight w:val="yellow"/>
        </w:rPr>
        <w:t>X</w:t>
      </w:r>
      <w:r w:rsidR="00DC1227" w:rsidRPr="0011750D">
        <w:rPr>
          <w:b w:val="0"/>
          <w:sz w:val="22"/>
          <w:szCs w:val="22"/>
          <w:highlight w:val="yellow"/>
        </w:rPr>
        <w:t xml:space="preserve"> + </w:t>
      </w:r>
      <w:r w:rsidR="0011750D">
        <w:rPr>
          <w:b w:val="0"/>
          <w:sz w:val="22"/>
          <w:szCs w:val="22"/>
          <w:highlight w:val="yellow"/>
        </w:rPr>
        <w:t>X</w:t>
      </w:r>
      <w:r w:rsidR="00DC1227" w:rsidRPr="0011750D">
        <w:rPr>
          <w:b w:val="0"/>
          <w:sz w:val="22"/>
          <w:szCs w:val="22"/>
          <w:highlight w:val="yellow"/>
        </w:rPr>
        <w:t xml:space="preserve"> +</w:t>
      </w:r>
      <w:r w:rsidRPr="0011750D">
        <w:rPr>
          <w:b w:val="0"/>
          <w:sz w:val="22"/>
          <w:szCs w:val="22"/>
          <w:highlight w:val="yellow"/>
        </w:rPr>
        <w:t xml:space="preserve"> </w:t>
      </w:r>
      <w:r w:rsidR="0011750D">
        <w:rPr>
          <w:b w:val="0"/>
          <w:sz w:val="22"/>
          <w:szCs w:val="22"/>
          <w:highlight w:val="yellow"/>
        </w:rPr>
        <w:t>x</w:t>
      </w:r>
      <w:r w:rsidR="00DC1227" w:rsidRPr="0011750D">
        <w:rPr>
          <w:b w:val="0"/>
          <w:sz w:val="22"/>
          <w:szCs w:val="22"/>
          <w:highlight w:val="yellow"/>
        </w:rPr>
        <w:t xml:space="preserve"> +</w:t>
      </w:r>
      <w:r w:rsidR="0011750D">
        <w:rPr>
          <w:b w:val="0"/>
          <w:sz w:val="22"/>
          <w:szCs w:val="22"/>
          <w:highlight w:val="yellow"/>
        </w:rPr>
        <w:t>X</w:t>
      </w:r>
      <w:r w:rsidR="00DC1227" w:rsidRPr="0011750D">
        <w:rPr>
          <w:b w:val="0"/>
          <w:sz w:val="22"/>
          <w:szCs w:val="22"/>
          <w:highlight w:val="yellow"/>
        </w:rPr>
        <w:t>)</w:t>
      </w:r>
      <w:r w:rsidR="00EF12E0" w:rsidRPr="0011750D">
        <w:rPr>
          <w:b w:val="0"/>
          <w:sz w:val="22"/>
          <w:szCs w:val="22"/>
          <w:highlight w:val="yellow"/>
        </w:rPr>
        <w:t xml:space="preserve"> = </w:t>
      </w:r>
      <w:r w:rsidR="0011750D">
        <w:rPr>
          <w:b w:val="0"/>
          <w:sz w:val="22"/>
          <w:szCs w:val="22"/>
          <w:highlight w:val="yellow"/>
        </w:rPr>
        <w:t>X€</w:t>
      </w:r>
      <w:r w:rsidR="00EF12E0" w:rsidRPr="0011750D">
        <w:rPr>
          <w:b w:val="0"/>
          <w:sz w:val="22"/>
          <w:szCs w:val="22"/>
          <w:highlight w:val="yellow"/>
        </w:rPr>
        <w:t>HT</w:t>
      </w:r>
      <w:r w:rsidR="00EF12E0">
        <w:rPr>
          <w:b w:val="0"/>
          <w:sz w:val="22"/>
          <w:szCs w:val="22"/>
        </w:rPr>
        <w:t>.</w:t>
      </w:r>
    </w:p>
    <w:p w:rsidR="0011750D" w:rsidRPr="005C38A1" w:rsidRDefault="009B415D" w:rsidP="0011750D">
      <w:pPr>
        <w:keepLines/>
        <w:spacing w:after="240" w:line="480" w:lineRule="auto"/>
        <w:jc w:val="both"/>
        <w:rPr>
          <w:rFonts w:cs="Arial"/>
          <w:b w:val="0"/>
          <w:kern w:val="32"/>
          <w:sz w:val="22"/>
          <w:szCs w:val="22"/>
        </w:rPr>
      </w:pPr>
      <w:r>
        <w:rPr>
          <w:b w:val="0"/>
          <w:sz w:val="22"/>
          <w:szCs w:val="22"/>
        </w:rPr>
        <w:t xml:space="preserve"> </w:t>
      </w:r>
      <w:r w:rsidR="0011750D" w:rsidRPr="005C38A1">
        <w:rPr>
          <w:rFonts w:cs="Arial"/>
          <w:b w:val="0"/>
          <w:kern w:val="32"/>
          <w:sz w:val="22"/>
          <w:szCs w:val="22"/>
        </w:rPr>
        <w:t xml:space="preserve">Les frais d'étude et maitrise d'œuvre associés à ce poste s’élèvent à </w:t>
      </w:r>
      <w:r w:rsidR="0011750D">
        <w:rPr>
          <w:rFonts w:cs="Arial"/>
          <w:b w:val="0"/>
          <w:kern w:val="32"/>
          <w:sz w:val="22"/>
          <w:szCs w:val="22"/>
          <w:highlight w:val="yellow"/>
        </w:rPr>
        <w:t>X</w:t>
      </w:r>
      <w:r w:rsidR="0011750D">
        <w:rPr>
          <w:rFonts w:cs="Arial"/>
          <w:b w:val="0"/>
          <w:kern w:val="32"/>
          <w:sz w:val="22"/>
          <w:szCs w:val="22"/>
        </w:rPr>
        <w:t xml:space="preserve"> </w:t>
      </w:r>
      <w:proofErr w:type="spellStart"/>
      <w:r w:rsidR="0011750D" w:rsidRPr="005C38A1">
        <w:rPr>
          <w:rFonts w:cs="Arial"/>
          <w:b w:val="0"/>
          <w:kern w:val="32"/>
          <w:sz w:val="22"/>
          <w:szCs w:val="22"/>
        </w:rPr>
        <w:t>X</w:t>
      </w:r>
      <w:proofErr w:type="spellEnd"/>
      <w:r w:rsidR="0011750D" w:rsidRPr="005C38A1">
        <w:rPr>
          <w:rFonts w:cs="Arial"/>
          <w:b w:val="0"/>
          <w:kern w:val="32"/>
          <w:sz w:val="22"/>
          <w:szCs w:val="22"/>
        </w:rPr>
        <w:t xml:space="preserve"> 3,75% soit </w:t>
      </w:r>
      <w:r w:rsidR="0011750D" w:rsidRPr="0011750D">
        <w:rPr>
          <w:rFonts w:cs="Arial"/>
          <w:b w:val="0"/>
          <w:kern w:val="32"/>
          <w:sz w:val="22"/>
          <w:szCs w:val="22"/>
          <w:highlight w:val="yellow"/>
        </w:rPr>
        <w:t>4826,96</w:t>
      </w:r>
      <w:r w:rsidR="0011750D" w:rsidRPr="005C38A1">
        <w:rPr>
          <w:rFonts w:cs="Arial"/>
          <w:b w:val="0"/>
          <w:kern w:val="32"/>
          <w:sz w:val="22"/>
          <w:szCs w:val="22"/>
        </w:rPr>
        <w:t xml:space="preserve"> €</w:t>
      </w:r>
    </w:p>
    <w:p w:rsidR="0011750D" w:rsidRPr="005C38A1" w:rsidRDefault="0011750D" w:rsidP="0011750D">
      <w:pPr>
        <w:keepLines/>
        <w:spacing w:after="240" w:line="480" w:lineRule="auto"/>
        <w:jc w:val="both"/>
        <w:rPr>
          <w:rFonts w:cs="Arial"/>
          <w:b w:val="0"/>
          <w:kern w:val="32"/>
          <w:sz w:val="22"/>
          <w:szCs w:val="22"/>
        </w:rPr>
      </w:pPr>
      <w:r w:rsidRPr="005C38A1">
        <w:rPr>
          <w:rFonts w:cs="Arial"/>
          <w:b w:val="0"/>
          <w:kern w:val="32"/>
          <w:sz w:val="22"/>
          <w:szCs w:val="22"/>
        </w:rPr>
        <w:t xml:space="preserve">Les frais de Contrôle technique associés s’élèvent à </w:t>
      </w:r>
      <w:r w:rsidRPr="0011750D">
        <w:rPr>
          <w:rFonts w:cs="Arial"/>
          <w:b w:val="0"/>
          <w:kern w:val="32"/>
          <w:sz w:val="22"/>
          <w:szCs w:val="22"/>
          <w:highlight w:val="yellow"/>
        </w:rPr>
        <w:t>X 0,15%</w:t>
      </w:r>
      <w:r w:rsidRPr="005C38A1">
        <w:rPr>
          <w:rFonts w:cs="Arial"/>
          <w:b w:val="0"/>
          <w:kern w:val="32"/>
          <w:sz w:val="22"/>
          <w:szCs w:val="22"/>
        </w:rPr>
        <w:t xml:space="preserve"> soit 193,08 €</w:t>
      </w:r>
    </w:p>
    <w:p w:rsidR="0011750D" w:rsidRDefault="0011750D" w:rsidP="0011750D">
      <w:pPr>
        <w:keepLines/>
        <w:spacing w:after="240" w:line="480" w:lineRule="auto"/>
        <w:jc w:val="both"/>
        <w:rPr>
          <w:rFonts w:cs="Arial"/>
          <w:b w:val="0"/>
          <w:kern w:val="32"/>
          <w:sz w:val="22"/>
          <w:szCs w:val="22"/>
        </w:rPr>
      </w:pPr>
      <w:r w:rsidRPr="005C38A1">
        <w:rPr>
          <w:rFonts w:cs="Arial"/>
          <w:b w:val="0"/>
          <w:kern w:val="32"/>
          <w:sz w:val="22"/>
          <w:szCs w:val="22"/>
        </w:rPr>
        <w:t xml:space="preserve">Les Frais Généraux Hors Site associés à ce poste s’élèvent à </w:t>
      </w:r>
      <w:r w:rsidRPr="0011750D">
        <w:rPr>
          <w:rFonts w:cs="Arial"/>
          <w:b w:val="0"/>
          <w:kern w:val="32"/>
          <w:sz w:val="22"/>
          <w:szCs w:val="22"/>
          <w:highlight w:val="yellow"/>
        </w:rPr>
        <w:t>(X) X 7,95 % soit : 10632,25€</w:t>
      </w:r>
    </w:p>
    <w:p w:rsidR="009B415D" w:rsidRDefault="009B415D" w:rsidP="005C38A1">
      <w:pPr>
        <w:keepLines/>
        <w:spacing w:after="240" w:line="480" w:lineRule="auto"/>
        <w:jc w:val="both"/>
        <w:rPr>
          <w:b w:val="0"/>
          <w:sz w:val="22"/>
          <w:szCs w:val="22"/>
        </w:rPr>
      </w:pPr>
    </w:p>
    <w:p w:rsidR="009B415D" w:rsidRPr="00B7060C" w:rsidRDefault="009B415D" w:rsidP="005C38A1">
      <w:pPr>
        <w:keepLines/>
        <w:spacing w:after="240" w:line="480" w:lineRule="auto"/>
        <w:jc w:val="both"/>
        <w:rPr>
          <w:b w:val="0"/>
          <w:sz w:val="22"/>
          <w:szCs w:val="22"/>
        </w:rPr>
      </w:pPr>
    </w:p>
    <w:p w:rsidR="005C38A1" w:rsidRPr="005C38A1" w:rsidRDefault="005C38A1" w:rsidP="005C38A1">
      <w:pPr>
        <w:rPr>
          <w:rFonts w:cs="Arial"/>
          <w:b w:val="0"/>
          <w:color w:val="FF0000"/>
          <w:kern w:val="32"/>
          <w:sz w:val="22"/>
          <w:szCs w:val="22"/>
          <w:u w:val="single"/>
        </w:rPr>
      </w:pPr>
      <w:r w:rsidRPr="005C38A1">
        <w:rPr>
          <w:rFonts w:cs="Arial"/>
          <w:b w:val="0"/>
          <w:color w:val="FF0000"/>
          <w:kern w:val="32"/>
          <w:sz w:val="22"/>
          <w:szCs w:val="22"/>
          <w:u w:val="single"/>
        </w:rPr>
        <w:t>Quel est le montant de ce surcoût ?</w:t>
      </w:r>
    </w:p>
    <w:p w:rsidR="005C38A1" w:rsidRPr="005C38A1" w:rsidRDefault="005C38A1" w:rsidP="005C38A1">
      <w:pPr>
        <w:jc w:val="both"/>
        <w:rPr>
          <w:rFonts w:cs="Arial"/>
          <w:b w:val="0"/>
          <w:color w:val="FF0000"/>
          <w:kern w:val="32"/>
          <w:sz w:val="22"/>
          <w:szCs w:val="22"/>
        </w:rPr>
      </w:pPr>
      <w:r w:rsidRPr="005C38A1">
        <w:rPr>
          <w:rFonts w:cs="Arial"/>
          <w:b w:val="0"/>
          <w:color w:val="FF0000"/>
          <w:kern w:val="32"/>
          <w:sz w:val="22"/>
          <w:szCs w:val="22"/>
        </w:rPr>
        <w:t>Documents dont nous disposons à ce jour concernant le préjudice « Arrêté compostage »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métrage béton pour la nouvelle fondation longrine 7 MAT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projet portant sur la justification et la conclusion de l’étude de mise en conformité avec la réglementation sur les usines de compostage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description de l’usine de bio-méthanisation de Hanovre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Plan « mise en conformité Arrêté compostage – solution 2 évolutive – schéma de principe – séchage – maturation »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Plan « mise en conformité Arrêté compostage – solution 1 (base) – traitement biologique – vue en plan »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Plan « mise en conformité Arrêté compostage – solution 2 évolutive traitement biologique – vue en plan »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Plan « mise en conformité Arrêté compostage – solution 1 (base) – traitement biologique – coupes »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Estimation financière des scenarios 1 et 2 d’extension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Synthèse des 3 alternatives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Estimation financière des scénarios 1 et 2 (alternatives 2 et 3) et scénario 5;</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Estimation financière des scenarios 1 et 2 et scenario 5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Alternative n°2 au 16 février 2009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Alternative n°3 au 16février 2009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Plan Proposition Extension CTM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Plan proposition Extension CTM – Alternative 2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Plan Proposition Extension CTM – Alternative 3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Courrier du 13 octobre 2009 portant sur le projet de création d’un groupe de travail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 xml:space="preserve">Courrier du 16 octobre 2009 de la CUMPM demandant à </w:t>
      </w:r>
      <w:r w:rsidRPr="005C38A1">
        <w:rPr>
          <w:rFonts w:cs="Arial"/>
          <w:b w:val="0"/>
          <w:smallCaps/>
          <w:color w:val="FF0000"/>
          <w:sz w:val="22"/>
          <w:szCs w:val="22"/>
        </w:rPr>
        <w:t>Evere</w:t>
      </w:r>
      <w:r w:rsidRPr="005C38A1">
        <w:rPr>
          <w:rFonts w:cs="Arial"/>
          <w:b w:val="0"/>
          <w:color w:val="FF0000"/>
          <w:sz w:val="22"/>
          <w:szCs w:val="22"/>
        </w:rPr>
        <w:t xml:space="preserve"> de lui communiquer ses propositions ;</w:t>
      </w:r>
    </w:p>
    <w:p w:rsidR="005C38A1" w:rsidRPr="005C38A1" w:rsidRDefault="005C38A1" w:rsidP="005C38A1">
      <w:pPr>
        <w:numPr>
          <w:ilvl w:val="0"/>
          <w:numId w:val="2"/>
        </w:numPr>
        <w:overflowPunct/>
        <w:autoSpaceDE/>
        <w:autoSpaceDN/>
        <w:adjustRightInd/>
        <w:jc w:val="both"/>
        <w:rPr>
          <w:rFonts w:cs="Arial"/>
          <w:b w:val="0"/>
          <w:i/>
          <w:color w:val="FF0000"/>
          <w:sz w:val="22"/>
          <w:szCs w:val="22"/>
        </w:rPr>
      </w:pPr>
      <w:r w:rsidRPr="005C38A1">
        <w:rPr>
          <w:rFonts w:cs="Arial"/>
          <w:b w:val="0"/>
          <w:color w:val="FF0000"/>
          <w:sz w:val="22"/>
          <w:szCs w:val="22"/>
        </w:rPr>
        <w:t>Courrier du 6 octobre 2009 transmettant l’étude de mise en conformité du projet à l’Arrêté de compostage </w:t>
      </w:r>
      <w:r w:rsidRPr="005C38A1">
        <w:rPr>
          <w:rFonts w:cs="Arial"/>
          <w:b w:val="0"/>
          <w:i/>
          <w:color w:val="FF0000"/>
          <w:sz w:val="22"/>
          <w:szCs w:val="22"/>
        </w:rPr>
        <w:t>;</w:t>
      </w:r>
    </w:p>
    <w:p w:rsidR="005C38A1" w:rsidRPr="005C38A1" w:rsidRDefault="005C38A1" w:rsidP="005C38A1">
      <w:pPr>
        <w:numPr>
          <w:ilvl w:val="0"/>
          <w:numId w:val="2"/>
        </w:numPr>
        <w:overflowPunct/>
        <w:autoSpaceDE/>
        <w:autoSpaceDN/>
        <w:adjustRightInd/>
        <w:jc w:val="both"/>
        <w:rPr>
          <w:rFonts w:cs="Arial"/>
          <w:b w:val="0"/>
          <w:i/>
          <w:color w:val="FF0000"/>
          <w:sz w:val="22"/>
          <w:szCs w:val="22"/>
        </w:rPr>
      </w:pPr>
      <w:r w:rsidRPr="005C38A1">
        <w:rPr>
          <w:rFonts w:cs="Arial"/>
          <w:b w:val="0"/>
          <w:color w:val="FF0000"/>
          <w:sz w:val="22"/>
          <w:szCs w:val="22"/>
        </w:rPr>
        <w:t>Courrier du 19 novembre 2009 annonçant l’avenant 1a </w:t>
      </w:r>
      <w:r w:rsidRPr="005C38A1">
        <w:rPr>
          <w:rFonts w:cs="Arial"/>
          <w:b w:val="0"/>
          <w:i/>
          <w:color w:val="FF0000"/>
          <w:sz w:val="22"/>
          <w:szCs w:val="22"/>
        </w:rPr>
        <w:t xml:space="preserve">; </w:t>
      </w:r>
    </w:p>
    <w:p w:rsidR="005C38A1" w:rsidRPr="005C38A1" w:rsidRDefault="005C38A1" w:rsidP="005C38A1">
      <w:pPr>
        <w:numPr>
          <w:ilvl w:val="0"/>
          <w:numId w:val="2"/>
        </w:numPr>
        <w:overflowPunct/>
        <w:autoSpaceDE/>
        <w:autoSpaceDN/>
        <w:adjustRightInd/>
        <w:jc w:val="both"/>
        <w:rPr>
          <w:rFonts w:cs="Arial"/>
          <w:b w:val="0"/>
          <w:i/>
          <w:color w:val="FF0000"/>
          <w:sz w:val="22"/>
          <w:szCs w:val="22"/>
        </w:rPr>
      </w:pPr>
      <w:r w:rsidRPr="005C38A1">
        <w:rPr>
          <w:rFonts w:cs="Arial"/>
          <w:b w:val="0"/>
          <w:color w:val="FF0000"/>
          <w:sz w:val="22"/>
          <w:szCs w:val="22"/>
        </w:rPr>
        <w:t>Courrier du 20 novembre 2009 annonçant l’avenant 1b </w:t>
      </w:r>
      <w:r w:rsidRPr="005C38A1">
        <w:rPr>
          <w:rFonts w:cs="Arial"/>
          <w:b w:val="0"/>
          <w:i/>
          <w:color w:val="FF0000"/>
          <w:sz w:val="22"/>
          <w:szCs w:val="22"/>
        </w:rPr>
        <w:t xml:space="preserve"> ; </w:t>
      </w:r>
    </w:p>
    <w:p w:rsidR="005C38A1" w:rsidRPr="005C38A1" w:rsidRDefault="005C38A1" w:rsidP="005C38A1">
      <w:pPr>
        <w:numPr>
          <w:ilvl w:val="0"/>
          <w:numId w:val="2"/>
        </w:numPr>
        <w:overflowPunct/>
        <w:autoSpaceDE/>
        <w:autoSpaceDN/>
        <w:adjustRightInd/>
        <w:jc w:val="both"/>
        <w:rPr>
          <w:rFonts w:cs="Arial"/>
          <w:b w:val="0"/>
          <w:i/>
          <w:color w:val="FF0000"/>
          <w:sz w:val="22"/>
          <w:szCs w:val="22"/>
        </w:rPr>
      </w:pPr>
      <w:r w:rsidRPr="005C38A1">
        <w:rPr>
          <w:rFonts w:cs="Arial"/>
          <w:b w:val="0"/>
          <w:color w:val="FF0000"/>
          <w:sz w:val="22"/>
          <w:szCs w:val="22"/>
        </w:rPr>
        <w:t>Courrier du 20 novembre 2009 annonçant l’avenant 1c :</w:t>
      </w:r>
      <w:r w:rsidRPr="005C38A1">
        <w:rPr>
          <w:rFonts w:cs="Arial"/>
          <w:b w:val="0"/>
          <w:i/>
          <w:color w:val="FF0000"/>
          <w:sz w:val="22"/>
          <w:szCs w:val="22"/>
        </w:rPr>
        <w:t xml:space="preserve"> nous attirons votre attention sur le fait que l’avenant n’est pas annexé au courrier ;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Commande pour la fabrication et la pose de structure sur convoyeurs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 xml:space="preserve">Commande de Evere à </w:t>
      </w:r>
      <w:r w:rsidRPr="005C38A1">
        <w:rPr>
          <w:rFonts w:cs="Arial"/>
          <w:b w:val="0"/>
          <w:smallCaps/>
          <w:color w:val="FF0000"/>
          <w:sz w:val="22"/>
          <w:szCs w:val="22"/>
        </w:rPr>
        <w:t>Vauché</w:t>
      </w:r>
      <w:r w:rsidRPr="005C38A1">
        <w:rPr>
          <w:rFonts w:cs="Arial"/>
          <w:b w:val="0"/>
          <w:color w:val="FF0000"/>
          <w:sz w:val="22"/>
          <w:szCs w:val="22"/>
        </w:rPr>
        <w:t>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 xml:space="preserve">Commande de Evere à </w:t>
      </w:r>
      <w:r w:rsidRPr="005C38A1">
        <w:rPr>
          <w:rFonts w:cs="Arial"/>
          <w:b w:val="0"/>
          <w:smallCaps/>
          <w:color w:val="FF0000"/>
          <w:sz w:val="22"/>
          <w:szCs w:val="22"/>
        </w:rPr>
        <w:t>Vauché</w:t>
      </w:r>
      <w:r w:rsidRPr="005C38A1">
        <w:rPr>
          <w:rFonts w:cs="Arial"/>
          <w:b w:val="0"/>
          <w:color w:val="FF0000"/>
          <w:sz w:val="22"/>
          <w:szCs w:val="22"/>
        </w:rPr>
        <w:t>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 xml:space="preserve">Courrier du 7 novembre 2009 annonçant la transmission d’un CDrom : </w:t>
      </w:r>
      <w:r w:rsidRPr="005C38A1">
        <w:rPr>
          <w:rFonts w:cs="Arial"/>
          <w:b w:val="0"/>
          <w:i/>
          <w:color w:val="FF0000"/>
          <w:sz w:val="22"/>
          <w:szCs w:val="22"/>
        </w:rPr>
        <w:t>nous attirons votre attention sur le fait que le Cdrom ne nous a pas été transmis</w:t>
      </w:r>
      <w:r w:rsidRPr="005C38A1">
        <w:rPr>
          <w:rFonts w:cs="Arial"/>
          <w:b w:val="0"/>
          <w:color w:val="FF0000"/>
          <w:sz w:val="22"/>
          <w:szCs w:val="22"/>
        </w:rPr>
        <w:t>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Schéma alimentation BRS ;</w:t>
      </w:r>
    </w:p>
    <w:p w:rsidR="005C38A1" w:rsidRPr="005C38A1" w:rsidRDefault="005C38A1" w:rsidP="005C38A1">
      <w:pPr>
        <w:numPr>
          <w:ilvl w:val="0"/>
          <w:numId w:val="2"/>
        </w:numPr>
        <w:overflowPunct/>
        <w:autoSpaceDE/>
        <w:autoSpaceDN/>
        <w:adjustRightInd/>
        <w:jc w:val="both"/>
        <w:rPr>
          <w:rFonts w:cs="Arial"/>
          <w:b w:val="0"/>
          <w:i/>
          <w:color w:val="FF0000"/>
          <w:sz w:val="22"/>
          <w:szCs w:val="22"/>
        </w:rPr>
      </w:pPr>
      <w:r w:rsidRPr="005C38A1">
        <w:rPr>
          <w:rFonts w:cs="Arial"/>
          <w:b w:val="0"/>
          <w:color w:val="FF0000"/>
          <w:sz w:val="22"/>
          <w:szCs w:val="22"/>
        </w:rPr>
        <w:t xml:space="preserve">Courrier du 5 novembre 2009 : </w:t>
      </w:r>
      <w:r w:rsidRPr="005C38A1">
        <w:rPr>
          <w:rFonts w:cs="Arial"/>
          <w:b w:val="0"/>
          <w:i/>
          <w:color w:val="FF0000"/>
          <w:sz w:val="22"/>
          <w:szCs w:val="22"/>
        </w:rPr>
        <w:t>nous attirons votre attention sur le fait que le dossier de mise en conformité n’est pas joint au courrier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Courrier du 23 octobre 2003 relatif à la fin de la MSI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Commande pour la réalisation d’un capot déversoir TBC;</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Facture relative au tri secondaire ;</w:t>
      </w:r>
    </w:p>
    <w:p w:rsidR="005C38A1" w:rsidRPr="005C38A1" w:rsidRDefault="005C38A1" w:rsidP="005C38A1">
      <w:pPr>
        <w:numPr>
          <w:ilvl w:val="0"/>
          <w:numId w:val="2"/>
        </w:numPr>
        <w:overflowPunct/>
        <w:autoSpaceDE/>
        <w:autoSpaceDN/>
        <w:adjustRightInd/>
        <w:jc w:val="both"/>
        <w:rPr>
          <w:rFonts w:cs="Arial"/>
          <w:b w:val="0"/>
          <w:color w:val="FF0000"/>
          <w:sz w:val="22"/>
          <w:szCs w:val="22"/>
        </w:rPr>
      </w:pPr>
      <w:r w:rsidRPr="005C38A1">
        <w:rPr>
          <w:rFonts w:cs="Arial"/>
          <w:b w:val="0"/>
          <w:color w:val="FF0000"/>
          <w:sz w:val="22"/>
          <w:szCs w:val="22"/>
        </w:rPr>
        <w:t>Tableau indiquant les lots, les sous-traitants ;</w:t>
      </w:r>
    </w:p>
    <w:p w:rsidR="00657A67" w:rsidRPr="005C38A1" w:rsidRDefault="00657A67" w:rsidP="005C38A1">
      <w:pPr>
        <w:rPr>
          <w:b w:val="0"/>
          <w:sz w:val="22"/>
          <w:szCs w:val="22"/>
        </w:rPr>
      </w:pPr>
    </w:p>
    <w:sectPr w:rsidR="00657A67" w:rsidRPr="005C38A1" w:rsidSect="005E6BCF">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HALPERN" w:date="2012-01-24T16:46:00Z" w:initials="A">
    <w:p w:rsidR="00824FF1" w:rsidRDefault="00824FF1" w:rsidP="005C38A1">
      <w:pPr>
        <w:pStyle w:val="Commentaire"/>
      </w:pPr>
      <w:r>
        <w:rPr>
          <w:rStyle w:val="Marquedecommentaire"/>
        </w:rPr>
        <w:annotationRef/>
      </w:r>
    </w:p>
    <w:p w:rsidR="00824FF1" w:rsidRDefault="00824FF1" w:rsidP="005C38A1">
      <w:pPr>
        <w:pStyle w:val="Commentaire"/>
      </w:pPr>
      <w:r>
        <w:t>Pourriez-vous nous préciser ce point ? Qui a pris l’arrêté ? Nous ne comprenons pas très bien l’historique lié à cet arrêté.</w:t>
      </w:r>
    </w:p>
  </w:comment>
  <w:comment w:id="1" w:author="AHALPERN" w:date="2012-01-24T16:46:00Z" w:initials="A">
    <w:p w:rsidR="00824FF1" w:rsidRDefault="00824FF1" w:rsidP="005C38A1">
      <w:pPr>
        <w:pStyle w:val="Commentaire"/>
      </w:pPr>
      <w:r>
        <w:rPr>
          <w:rStyle w:val="Marquedecommentaire"/>
        </w:rPr>
        <w:annotationRef/>
      </w:r>
      <w:r>
        <w:t>Quelle solution a été retenue ? Y a –t-il eu des réunions entre Evere et la CUMPM ?</w:t>
      </w:r>
    </w:p>
  </w:comment>
  <w:comment w:id="2" w:author="." w:date="2012-01-24T17:21:00Z" w:initials=".">
    <w:p w:rsidR="00824FF1" w:rsidRDefault="00824FF1">
      <w:pPr>
        <w:pStyle w:val="Commentaire"/>
      </w:pPr>
      <w:r>
        <w:rPr>
          <w:rStyle w:val="Marquedecommentaire"/>
        </w:rPr>
        <w:annotationRef/>
      </w:r>
      <w:r>
        <w:t>Aucune solution n’a été validée.</w:t>
      </w:r>
    </w:p>
  </w:comment>
  <w:comment w:id="3" w:author="AHALPERN" w:date="2012-01-24T16:46:00Z" w:initials="A">
    <w:p w:rsidR="00824FF1" w:rsidRDefault="00824FF1" w:rsidP="005C38A1">
      <w:pPr>
        <w:pStyle w:val="Commentaire"/>
      </w:pPr>
      <w:r>
        <w:rPr>
          <w:rStyle w:val="Marquedecommentaire"/>
        </w:rPr>
        <w:annotationRef/>
      </w:r>
    </w:p>
    <w:p w:rsidR="00824FF1" w:rsidRDefault="00824FF1" w:rsidP="005C38A1">
      <w:pPr>
        <w:pStyle w:val="Commentaire"/>
      </w:pPr>
      <w:r>
        <w:t>Pouvons-nous considérer que ces travaux ont été indispensables ? Que s’ils n’avaient pas été réalisés à ce moment, ils auraient dû nécessairement l’être ?</w:t>
      </w:r>
    </w:p>
  </w:comment>
  <w:comment w:id="4" w:author="." w:date="2012-01-25T16:44:00Z" w:initials=".">
    <w:p w:rsidR="00824FF1" w:rsidRDefault="00824FF1">
      <w:pPr>
        <w:pStyle w:val="Commentaire"/>
      </w:pPr>
      <w:r>
        <w:rPr>
          <w:rStyle w:val="Marquedecommentaire"/>
        </w:rPr>
        <w:annotationRef/>
      </w:r>
      <w:r>
        <w:t xml:space="preserve">Les discussions sur le projet </w:t>
      </w:r>
      <w:proofErr w:type="spellStart"/>
      <w:r>
        <w:t>Caselli</w:t>
      </w:r>
      <w:proofErr w:type="spellEnd"/>
      <w:r>
        <w:t xml:space="preserve"> étaient en cours lors de la réalisation de ces travaux. Ils étaient indispensables pour le projet d’extension de la méthanisation. Ils ont donc été effectués pendant les discussions</w:t>
      </w:r>
    </w:p>
    <w:p w:rsidR="00824FF1" w:rsidRDefault="00824FF1">
      <w:pPr>
        <w:pStyle w:val="Commentaire"/>
      </w:pPr>
    </w:p>
  </w:comment>
  <w:comment w:id="5" w:author="." w:date="2012-01-25T16:45:00Z" w:initials=".">
    <w:p w:rsidR="00824FF1" w:rsidRDefault="00824FF1">
      <w:pPr>
        <w:pStyle w:val="Commentaire"/>
      </w:pPr>
      <w:r>
        <w:rPr>
          <w:rStyle w:val="Marquedecommentaire"/>
        </w:rPr>
        <w:annotationRef/>
      </w:r>
      <w:r>
        <w:t>La décomposition des prix se trouve dans les contrats.</w:t>
      </w:r>
    </w:p>
  </w:comment>
  <w:comment w:id="6" w:author="AHALPERN" w:date="2012-01-24T16:46:00Z" w:initials="A">
    <w:p w:rsidR="00824FF1" w:rsidRDefault="00824FF1" w:rsidP="005C38A1">
      <w:pPr>
        <w:pStyle w:val="Commentaire"/>
      </w:pPr>
      <w:r>
        <w:rPr>
          <w:rStyle w:val="Marquedecommentaire"/>
        </w:rPr>
        <w:annotationRef/>
      </w:r>
    </w:p>
    <w:p w:rsidR="00824FF1" w:rsidRDefault="00824FF1" w:rsidP="005C38A1">
      <w:pPr>
        <w:pStyle w:val="Commentaire"/>
      </w:pPr>
      <w:r>
        <w:t>Difficultés avec les montants demandés. Nous disposons uniquement des contrats de commande.</w:t>
      </w:r>
    </w:p>
  </w:comment>
  <w:comment w:id="8" w:author="AHALPERN" w:date="2012-01-25T16:46:00Z" w:initials="A">
    <w:p w:rsidR="00824FF1" w:rsidRDefault="00824FF1" w:rsidP="005C38A1">
      <w:pPr>
        <w:pStyle w:val="Commentaire"/>
      </w:pPr>
      <w:r>
        <w:rPr>
          <w:rStyle w:val="Marquedecommentaire"/>
        </w:rPr>
        <w:annotationRef/>
      </w:r>
      <w:r>
        <w:t>Etait-ce des travaux indispensables ?</w:t>
      </w:r>
    </w:p>
  </w:comment>
  <w:comment w:id="7" w:author="." w:date="2012-01-25T16:46:00Z" w:initials=".">
    <w:p w:rsidR="00824FF1" w:rsidRDefault="00824FF1">
      <w:pPr>
        <w:pStyle w:val="Commentaire"/>
      </w:pPr>
      <w:r>
        <w:rPr>
          <w:rStyle w:val="Marquedecommentaire"/>
        </w:rPr>
        <w:annotationRef/>
      </w:r>
      <w:r>
        <w:t xml:space="preserve">Dans le cadre du projet </w:t>
      </w:r>
      <w:proofErr w:type="spellStart"/>
      <w:r>
        <w:t>Caselli</w:t>
      </w:r>
      <w:proofErr w:type="spellEnd"/>
      <w:r>
        <w:t> : Oui.</w:t>
      </w:r>
    </w:p>
  </w:comment>
  <w:comment w:id="9" w:author="AHALPERN" w:date="2012-01-24T16:46:00Z" w:initials="A">
    <w:p w:rsidR="00824FF1" w:rsidRDefault="00824FF1" w:rsidP="005C38A1">
      <w:pPr>
        <w:pStyle w:val="Commentaire"/>
      </w:pPr>
      <w:r>
        <w:rPr>
          <w:rStyle w:val="Marquedecommentaire"/>
        </w:rPr>
        <w:annotationRef/>
      </w:r>
      <w:r>
        <w:t>Nous n’avons aucun élément concernant ce préjudice. Nous ne disposons d’aucune facture.</w:t>
      </w:r>
    </w:p>
  </w:comment>
  <w:comment w:id="11" w:author="Luis Perez" w:date="2012-01-30T12:27:00Z" w:initials="LP">
    <w:p w:rsidR="00824FF1" w:rsidRDefault="00824FF1">
      <w:pPr>
        <w:pStyle w:val="Commentaire"/>
      </w:pPr>
      <w:r>
        <w:rPr>
          <w:rStyle w:val="Marquedecommentaire"/>
        </w:rPr>
        <w:annotationRef/>
      </w:r>
      <w:r>
        <w:t xml:space="preserve">Il me semble pertinent chercher les factures correspondants au devis de </w:t>
      </w:r>
      <w:proofErr w:type="spellStart"/>
      <w:r>
        <w:t>Fargeot</w:t>
      </w:r>
      <w:proofErr w:type="spellEnd"/>
      <w:r>
        <w:t> ; il me semble qu’on pourra ajouter les 11 970€HT mentionnées dans mon e-mail du 27-01-12.</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23D"/>
    <w:multiLevelType w:val="hybridMultilevel"/>
    <w:tmpl w:val="C820E6A4"/>
    <w:lvl w:ilvl="0" w:tplc="088A120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C955033"/>
    <w:multiLevelType w:val="hybridMultilevel"/>
    <w:tmpl w:val="A5B8171E"/>
    <w:lvl w:ilvl="0" w:tplc="219E346A">
      <w:start w:val="1"/>
      <w:numFmt w:val="bullet"/>
      <w:lvlText w:val="-"/>
      <w:lvlJc w:val="left"/>
      <w:pPr>
        <w:tabs>
          <w:tab w:val="num" w:pos="360"/>
        </w:tabs>
        <w:ind w:left="360" w:hanging="360"/>
      </w:pPr>
      <w:rPr>
        <w:rFonts w:ascii="Times New Roman" w:eastAsia="Times New Roman" w:hAnsi="Times New Roman" w:cs="Times New Roman" w:hint="default"/>
        <w:sz w:val="25"/>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sz w:val="25"/>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1B1E"/>
    <w:rsid w:val="00004E85"/>
    <w:rsid w:val="00085694"/>
    <w:rsid w:val="000D4554"/>
    <w:rsid w:val="0011750D"/>
    <w:rsid w:val="00255201"/>
    <w:rsid w:val="002726E1"/>
    <w:rsid w:val="003F183A"/>
    <w:rsid w:val="003F716C"/>
    <w:rsid w:val="00411E10"/>
    <w:rsid w:val="00467466"/>
    <w:rsid w:val="0049697B"/>
    <w:rsid w:val="0054315C"/>
    <w:rsid w:val="00585954"/>
    <w:rsid w:val="005C38A1"/>
    <w:rsid w:val="005E6BCF"/>
    <w:rsid w:val="00650EC5"/>
    <w:rsid w:val="006567FD"/>
    <w:rsid w:val="00657A67"/>
    <w:rsid w:val="00685036"/>
    <w:rsid w:val="00824FF1"/>
    <w:rsid w:val="008E5053"/>
    <w:rsid w:val="008F67FF"/>
    <w:rsid w:val="009B415D"/>
    <w:rsid w:val="009E504D"/>
    <w:rsid w:val="00A11B1E"/>
    <w:rsid w:val="00AB64AE"/>
    <w:rsid w:val="00AC07F7"/>
    <w:rsid w:val="00B40936"/>
    <w:rsid w:val="00B7060C"/>
    <w:rsid w:val="00B7334D"/>
    <w:rsid w:val="00C15A25"/>
    <w:rsid w:val="00C40425"/>
    <w:rsid w:val="00CF6688"/>
    <w:rsid w:val="00DC1227"/>
    <w:rsid w:val="00DD25A2"/>
    <w:rsid w:val="00EF12E0"/>
    <w:rsid w:val="00F3484C"/>
    <w:rsid w:val="00FB3A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FD"/>
    <w:pPr>
      <w:overflowPunct w:val="0"/>
      <w:autoSpaceDE w:val="0"/>
      <w:autoSpaceDN w:val="0"/>
      <w:adjustRightInd w:val="0"/>
      <w:spacing w:after="0" w:line="240" w:lineRule="auto"/>
    </w:pPr>
    <w:rPr>
      <w:rFonts w:ascii="Arial" w:eastAsia="Times New Roman" w:hAnsi="Arial"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5C38A1"/>
    <w:rPr>
      <w:sz w:val="16"/>
      <w:szCs w:val="16"/>
    </w:rPr>
  </w:style>
  <w:style w:type="paragraph" w:styleId="Commentaire">
    <w:name w:val="annotation text"/>
    <w:basedOn w:val="Normal"/>
    <w:link w:val="CommentaireCar"/>
    <w:semiHidden/>
    <w:rsid w:val="005C38A1"/>
    <w:pPr>
      <w:overflowPunct/>
      <w:autoSpaceDE/>
      <w:autoSpaceDN/>
      <w:adjustRightInd/>
      <w:spacing w:after="200" w:line="276" w:lineRule="auto"/>
    </w:pPr>
    <w:rPr>
      <w:rFonts w:ascii="Calibri" w:hAnsi="Calibri"/>
      <w:b w:val="0"/>
      <w:bCs w:val="0"/>
      <w:sz w:val="20"/>
      <w:lang w:eastAsia="en-US"/>
    </w:rPr>
  </w:style>
  <w:style w:type="character" w:customStyle="1" w:styleId="CommentaireCar">
    <w:name w:val="Commentaire Car"/>
    <w:basedOn w:val="Policepardfaut"/>
    <w:link w:val="Commentaire"/>
    <w:semiHidden/>
    <w:rsid w:val="005C38A1"/>
    <w:rPr>
      <w:rFonts w:ascii="Calibri" w:eastAsia="Times New Roman" w:hAnsi="Calibri" w:cs="Times New Roman"/>
      <w:sz w:val="20"/>
      <w:szCs w:val="20"/>
    </w:rPr>
  </w:style>
  <w:style w:type="paragraph" w:styleId="Textedebulles">
    <w:name w:val="Balloon Text"/>
    <w:basedOn w:val="Normal"/>
    <w:link w:val="TextedebullesCar"/>
    <w:uiPriority w:val="99"/>
    <w:semiHidden/>
    <w:unhideWhenUsed/>
    <w:rsid w:val="005C38A1"/>
    <w:rPr>
      <w:rFonts w:ascii="Tahoma" w:hAnsi="Tahoma" w:cs="Tahoma"/>
      <w:sz w:val="16"/>
      <w:szCs w:val="16"/>
    </w:rPr>
  </w:style>
  <w:style w:type="character" w:customStyle="1" w:styleId="TextedebullesCar">
    <w:name w:val="Texte de bulles Car"/>
    <w:basedOn w:val="Policepardfaut"/>
    <w:link w:val="Textedebulles"/>
    <w:uiPriority w:val="99"/>
    <w:semiHidden/>
    <w:rsid w:val="005C38A1"/>
    <w:rPr>
      <w:rFonts w:ascii="Tahoma" w:eastAsia="Times New Roman" w:hAnsi="Tahoma" w:cs="Tahoma"/>
      <w:b/>
      <w:bCs/>
      <w:sz w:val="16"/>
      <w:szCs w:val="16"/>
      <w:lang w:eastAsia="fr-FR"/>
    </w:rPr>
  </w:style>
  <w:style w:type="paragraph" w:styleId="Objetducommentaire">
    <w:name w:val="annotation subject"/>
    <w:basedOn w:val="Commentaire"/>
    <w:next w:val="Commentaire"/>
    <w:link w:val="ObjetducommentaireCar"/>
    <w:uiPriority w:val="99"/>
    <w:semiHidden/>
    <w:unhideWhenUsed/>
    <w:rsid w:val="00004E85"/>
    <w:pPr>
      <w:overflowPunct w:val="0"/>
      <w:autoSpaceDE w:val="0"/>
      <w:autoSpaceDN w:val="0"/>
      <w:adjustRightInd w:val="0"/>
      <w:spacing w:after="0" w:line="240" w:lineRule="auto"/>
    </w:pPr>
    <w:rPr>
      <w:rFonts w:ascii="Arial" w:hAnsi="Arial"/>
      <w:b/>
      <w:bCs/>
      <w:lang w:eastAsia="fr-FR"/>
    </w:rPr>
  </w:style>
  <w:style w:type="character" w:customStyle="1" w:styleId="ObjetducommentaireCar">
    <w:name w:val="Objet du commentaire Car"/>
    <w:basedOn w:val="CommentaireCar"/>
    <w:link w:val="Objetducommentaire"/>
    <w:uiPriority w:val="99"/>
    <w:semiHidden/>
    <w:rsid w:val="00004E85"/>
    <w:rPr>
      <w:rFonts w:ascii="Arial" w:eastAsia="Times New Roman" w:hAnsi="Arial"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FD"/>
    <w:pPr>
      <w:overflowPunct w:val="0"/>
      <w:autoSpaceDE w:val="0"/>
      <w:autoSpaceDN w:val="0"/>
      <w:adjustRightInd w:val="0"/>
      <w:spacing w:after="0" w:line="240" w:lineRule="auto"/>
    </w:pPr>
    <w:rPr>
      <w:rFonts w:ascii="Arial" w:eastAsia="Times New Roman" w:hAnsi="Arial"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5C38A1"/>
    <w:rPr>
      <w:sz w:val="16"/>
      <w:szCs w:val="16"/>
    </w:rPr>
  </w:style>
  <w:style w:type="paragraph" w:styleId="Commentaire">
    <w:name w:val="annotation text"/>
    <w:basedOn w:val="Normal"/>
    <w:link w:val="CommentaireCar"/>
    <w:semiHidden/>
    <w:rsid w:val="005C38A1"/>
    <w:pPr>
      <w:overflowPunct/>
      <w:autoSpaceDE/>
      <w:autoSpaceDN/>
      <w:adjustRightInd/>
      <w:spacing w:after="200" w:line="276" w:lineRule="auto"/>
    </w:pPr>
    <w:rPr>
      <w:rFonts w:ascii="Calibri" w:hAnsi="Calibri"/>
      <w:b w:val="0"/>
      <w:bCs w:val="0"/>
      <w:sz w:val="20"/>
      <w:lang w:eastAsia="en-US"/>
    </w:rPr>
  </w:style>
  <w:style w:type="character" w:customStyle="1" w:styleId="CommentaireCar">
    <w:name w:val="Commentaire Car"/>
    <w:basedOn w:val="Policepardfaut"/>
    <w:link w:val="Commentaire"/>
    <w:semiHidden/>
    <w:rsid w:val="005C38A1"/>
    <w:rPr>
      <w:rFonts w:ascii="Calibri" w:eastAsia="Times New Roman" w:hAnsi="Calibri" w:cs="Times New Roman"/>
      <w:sz w:val="20"/>
      <w:szCs w:val="20"/>
    </w:rPr>
  </w:style>
  <w:style w:type="paragraph" w:styleId="Textedebulles">
    <w:name w:val="Balloon Text"/>
    <w:basedOn w:val="Normal"/>
    <w:link w:val="TextedebullesCar"/>
    <w:uiPriority w:val="99"/>
    <w:semiHidden/>
    <w:unhideWhenUsed/>
    <w:rsid w:val="005C38A1"/>
    <w:rPr>
      <w:rFonts w:ascii="Tahoma" w:hAnsi="Tahoma" w:cs="Tahoma"/>
      <w:sz w:val="16"/>
      <w:szCs w:val="16"/>
    </w:rPr>
  </w:style>
  <w:style w:type="character" w:customStyle="1" w:styleId="TextedebullesCar">
    <w:name w:val="Texte de bulles Car"/>
    <w:basedOn w:val="Policepardfaut"/>
    <w:link w:val="Textedebulles"/>
    <w:uiPriority w:val="99"/>
    <w:semiHidden/>
    <w:rsid w:val="005C38A1"/>
    <w:rPr>
      <w:rFonts w:ascii="Tahoma" w:eastAsia="Times New Roman" w:hAnsi="Tahoma" w:cs="Tahoma"/>
      <w:b/>
      <w:bCs/>
      <w:sz w:val="16"/>
      <w:szCs w:val="16"/>
      <w:lang w:eastAsia="fr-FR"/>
    </w:rPr>
  </w:style>
  <w:style w:type="paragraph" w:styleId="Objetducommentaire">
    <w:name w:val="annotation subject"/>
    <w:basedOn w:val="Commentaire"/>
    <w:next w:val="Commentaire"/>
    <w:link w:val="ObjetducommentaireCar"/>
    <w:uiPriority w:val="99"/>
    <w:semiHidden/>
    <w:unhideWhenUsed/>
    <w:rsid w:val="00004E85"/>
    <w:pPr>
      <w:overflowPunct w:val="0"/>
      <w:autoSpaceDE w:val="0"/>
      <w:autoSpaceDN w:val="0"/>
      <w:adjustRightInd w:val="0"/>
      <w:spacing w:after="0" w:line="240" w:lineRule="auto"/>
    </w:pPr>
    <w:rPr>
      <w:rFonts w:ascii="Arial" w:hAnsi="Arial"/>
      <w:b/>
      <w:bCs/>
      <w:lang w:eastAsia="fr-FR"/>
    </w:rPr>
  </w:style>
  <w:style w:type="character" w:customStyle="1" w:styleId="ObjetducommentaireCar">
    <w:name w:val="Objet du commentaire Car"/>
    <w:basedOn w:val="CommentaireCar"/>
    <w:link w:val="Objetducommentaire"/>
    <w:uiPriority w:val="99"/>
    <w:semiHidden/>
    <w:rsid w:val="00004E85"/>
    <w:rPr>
      <w:rFonts w:ascii="Arial" w:eastAsia="Times New Roman" w:hAnsi="Arial" w:cs="Times New Roman"/>
      <w:b/>
      <w:bCs/>
      <w:sz w:val="20"/>
      <w:szCs w:val="20"/>
      <w:lang w:eastAsia="fr-FR"/>
    </w:rPr>
  </w:style>
</w:styles>
</file>

<file path=word/webSettings.xml><?xml version="1.0" encoding="utf-8"?>
<w:webSettings xmlns:r="http://schemas.openxmlformats.org/officeDocument/2006/relationships" xmlns:w="http://schemas.openxmlformats.org/wordprocessingml/2006/main">
  <w:divs>
    <w:div w:id="38823959">
      <w:bodyDiv w:val="1"/>
      <w:marLeft w:val="0"/>
      <w:marRight w:val="0"/>
      <w:marTop w:val="0"/>
      <w:marBottom w:val="0"/>
      <w:divBdr>
        <w:top w:val="none" w:sz="0" w:space="0" w:color="auto"/>
        <w:left w:val="none" w:sz="0" w:space="0" w:color="auto"/>
        <w:bottom w:val="none" w:sz="0" w:space="0" w:color="auto"/>
        <w:right w:val="none" w:sz="0" w:space="0" w:color="auto"/>
      </w:divBdr>
    </w:div>
    <w:div w:id="11928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F7E8-DB5E-4BA0-B1C9-B39BBF64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1604</Words>
  <Characters>8822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l.delaparte</dc:creator>
  <cp:lastModifiedBy>.</cp:lastModifiedBy>
  <cp:revision>3</cp:revision>
  <cp:lastPrinted>2012-01-30T11:29:00Z</cp:lastPrinted>
  <dcterms:created xsi:type="dcterms:W3CDTF">2012-01-30T15:46:00Z</dcterms:created>
  <dcterms:modified xsi:type="dcterms:W3CDTF">2012-02-01T17:28:00Z</dcterms:modified>
</cp:coreProperties>
</file>