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07" w:rsidRDefault="00563807" w:rsidP="00563807">
      <w:pPr>
        <w:rPr>
          <w:b/>
          <w:sz w:val="24"/>
          <w:szCs w:val="24"/>
          <w:u w:val="single"/>
        </w:rPr>
      </w:pPr>
      <w:r w:rsidRPr="00563807">
        <w:rPr>
          <w:b/>
          <w:sz w:val="24"/>
          <w:szCs w:val="24"/>
          <w:u w:val="single"/>
        </w:rPr>
        <w:t>20 Frais bancaires</w:t>
      </w:r>
    </w:p>
    <w:p w:rsidR="00563807" w:rsidRPr="00563807" w:rsidRDefault="003B2149" w:rsidP="0056380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 – 1 Financement du projet</w:t>
      </w:r>
    </w:p>
    <w:p w:rsidR="00563807" w:rsidRPr="00916666" w:rsidRDefault="00563807" w:rsidP="00916666">
      <w:pPr>
        <w:spacing w:line="480" w:lineRule="auto"/>
        <w:rPr>
          <w:rFonts w:ascii="Arial" w:hAnsi="Arial" w:cs="Arial"/>
        </w:rPr>
      </w:pPr>
      <w:r w:rsidRPr="00916666">
        <w:rPr>
          <w:rFonts w:ascii="Arial" w:hAnsi="Arial" w:cs="Arial"/>
        </w:rPr>
        <w:t>L’historique résumé des financements est le suivant :</w:t>
      </w:r>
    </w:p>
    <w:p w:rsidR="00563807" w:rsidRPr="00916666" w:rsidRDefault="00563807" w:rsidP="00916666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916666">
        <w:rPr>
          <w:rFonts w:ascii="Arial" w:hAnsi="Arial" w:cs="Arial"/>
        </w:rPr>
        <w:t xml:space="preserve">De la signature de la DSP  à Aout 2007, URBASER a intégralement financé tous les travaux. Ceci vient du fait de la signature tardive de CBI en juillet 2007 avec SOGEFINERG à cause des incertitudes du projet (recours notamment). Pendant cette phase URBASER a financé bien au-delà des  10% de fonds propres prévus à la DSP. </w:t>
      </w:r>
    </w:p>
    <w:p w:rsidR="00563807" w:rsidRPr="00916666" w:rsidRDefault="00563807" w:rsidP="00916666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916666">
        <w:rPr>
          <w:rFonts w:ascii="Arial" w:hAnsi="Arial" w:cs="Arial"/>
        </w:rPr>
        <w:t xml:space="preserve">En juillet 2007 SOGEFINERG commence les décaissements. Le premier décaissement permet un rattrapage. Les décaissements continuent ensuite normalement jusqu’à mai 2008. </w:t>
      </w:r>
    </w:p>
    <w:p w:rsidR="00563807" w:rsidRPr="00916666" w:rsidRDefault="00563807" w:rsidP="00916666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916666">
        <w:rPr>
          <w:rFonts w:ascii="Arial" w:hAnsi="Arial" w:cs="Arial"/>
        </w:rPr>
        <w:t xml:space="preserve">De mai 2008 à Avril 2009, SOGEFINERG a arrêté les décaissements du fait de l’annulation de la décision de CUMPM pour la signature du bail à construction. Un protocole d’accord a été signé le 24 juin 2009. Il en résulte un surcoût immédiat de 300 000€HT, une commission au gérant( ?), un changement dans les marges de financement à long terme et à court terme et un </w:t>
      </w:r>
      <w:proofErr w:type="spellStart"/>
      <w:r w:rsidRPr="00916666">
        <w:rPr>
          <w:rFonts w:ascii="Arial" w:hAnsi="Arial" w:cs="Arial"/>
        </w:rPr>
        <w:t>re</w:t>
      </w:r>
      <w:proofErr w:type="spellEnd"/>
      <w:r w:rsidRPr="00916666">
        <w:rPr>
          <w:rFonts w:ascii="Arial" w:hAnsi="Arial" w:cs="Arial"/>
        </w:rPr>
        <w:t>-calcul des décaissements en prenant en compte le 297/431 de chaque facture (68,9%). Ce calcul est fait rétroactivement sur les sommes déjà versées.</w:t>
      </w:r>
    </w:p>
    <w:p w:rsidR="00563807" w:rsidRPr="00916666" w:rsidRDefault="00563807" w:rsidP="00916666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916666">
        <w:rPr>
          <w:rFonts w:ascii="Arial" w:hAnsi="Arial" w:cs="Arial"/>
        </w:rPr>
        <w:t>Du fait de la prolongation de la MSI et par conséquence la date de livraison, un nouveau protocole a été signé le 6 avril 2010. Il en résulte un surcoût immédiat de 450 000€HT et un montant mensuel de 0,25% sur l’encours de la dette.</w:t>
      </w:r>
    </w:p>
    <w:p w:rsidR="00D67CFE" w:rsidRPr="00916666" w:rsidRDefault="00D67CFE" w:rsidP="00916666">
      <w:pPr>
        <w:spacing w:line="480" w:lineRule="auto"/>
        <w:rPr>
          <w:rFonts w:ascii="Arial" w:hAnsi="Arial" w:cs="Arial"/>
        </w:rPr>
      </w:pPr>
    </w:p>
    <w:p w:rsidR="00D67CFE" w:rsidRPr="00916666" w:rsidRDefault="00D67CFE" w:rsidP="00916666">
      <w:pPr>
        <w:spacing w:line="480" w:lineRule="auto"/>
        <w:rPr>
          <w:rFonts w:ascii="Arial" w:hAnsi="Arial" w:cs="Arial"/>
        </w:rPr>
      </w:pPr>
      <w:r w:rsidRPr="00916666">
        <w:rPr>
          <w:rFonts w:ascii="Arial" w:hAnsi="Arial" w:cs="Arial"/>
        </w:rPr>
        <w:t>Dans le dossier technique et financier claim1, la méthodologie de calcul des frais financier pour la période 2005 -2007 est basée sur le WACC (coût moyen pondéré du capital) de 8,11%. La même méthodologie est appliquée pour ce poste.</w:t>
      </w:r>
    </w:p>
    <w:p w:rsidR="00D67CFE" w:rsidRPr="00916666" w:rsidRDefault="00D67CFE" w:rsidP="00916666">
      <w:pPr>
        <w:spacing w:line="480" w:lineRule="auto"/>
        <w:rPr>
          <w:rFonts w:ascii="Arial" w:hAnsi="Arial" w:cs="Arial"/>
        </w:rPr>
      </w:pPr>
      <w:r w:rsidRPr="00916666">
        <w:rPr>
          <w:rFonts w:ascii="Arial" w:hAnsi="Arial" w:cs="Arial"/>
        </w:rPr>
        <w:lastRenderedPageBreak/>
        <w:t xml:space="preserve">Dans le claim1, les frais correspondant à cette première phase de financement étaient calculés jusqu’à Aout 2008. Des frais financiers sur ce montant continuent d’être observés jusqu’à aujourd’hui. Dans le claim2, les frais sur ce montant continuent à </w:t>
      </w:r>
      <w:r w:rsidR="00916666" w:rsidRPr="00916666">
        <w:rPr>
          <w:rFonts w:ascii="Arial" w:hAnsi="Arial" w:cs="Arial"/>
        </w:rPr>
        <w:t xml:space="preserve">être </w:t>
      </w:r>
      <w:r w:rsidRPr="00916666">
        <w:rPr>
          <w:rFonts w:ascii="Arial" w:hAnsi="Arial" w:cs="Arial"/>
        </w:rPr>
        <w:t>calcul</w:t>
      </w:r>
      <w:r w:rsidR="00916666" w:rsidRPr="00916666">
        <w:rPr>
          <w:rFonts w:ascii="Arial" w:hAnsi="Arial" w:cs="Arial"/>
        </w:rPr>
        <w:t>és</w:t>
      </w:r>
      <w:r w:rsidRPr="00916666">
        <w:rPr>
          <w:rFonts w:ascii="Arial" w:hAnsi="Arial" w:cs="Arial"/>
        </w:rPr>
        <w:t xml:space="preserve"> jusqu’à février 2012.</w:t>
      </w:r>
    </w:p>
    <w:p w:rsidR="00D67CFE" w:rsidRPr="00916666" w:rsidRDefault="00D67CFE" w:rsidP="00916666">
      <w:pPr>
        <w:spacing w:line="480" w:lineRule="auto"/>
        <w:rPr>
          <w:rFonts w:ascii="Arial" w:hAnsi="Arial" w:cs="Arial"/>
        </w:rPr>
      </w:pPr>
      <w:r w:rsidRPr="00916666">
        <w:rPr>
          <w:rFonts w:ascii="Arial" w:hAnsi="Arial" w:cs="Arial"/>
        </w:rPr>
        <w:t>Dès le début du projet, URBASER a financé des surcouts sur le projet (objet des claim1 et claim2). Ainsi, la différence entre les décaissements de SOGEFINERG et les investissements réalisés par EVERE correspond chaque mois à la part de financement des travaux supplémentaires. Des frais sont donc calculés sur ces montants jusqu’à aujourd’hui.</w:t>
      </w:r>
    </w:p>
    <w:p w:rsidR="00D67CFE" w:rsidRDefault="00D67CFE" w:rsidP="00916666">
      <w:pPr>
        <w:spacing w:line="480" w:lineRule="auto"/>
        <w:rPr>
          <w:rFonts w:ascii="Arial" w:hAnsi="Arial" w:cs="Arial"/>
        </w:rPr>
      </w:pPr>
      <w:r w:rsidRPr="00916666">
        <w:rPr>
          <w:rFonts w:ascii="Arial" w:hAnsi="Arial" w:cs="Arial"/>
        </w:rPr>
        <w:t xml:space="preserve">De mai 2008 à avril 2009, </w:t>
      </w:r>
      <w:r w:rsidR="00916666" w:rsidRPr="00916666">
        <w:rPr>
          <w:rFonts w:ascii="Arial" w:hAnsi="Arial" w:cs="Arial"/>
        </w:rPr>
        <w:t>URBASER a intégralement financé le projet jusqu’ à la reprise des décaissements. Les montants engagés correspondent à la part travaux prévus à la DSP ainsi que celle pour les travaux supplémentaires. Des frais sont donc calculés sur ces deux montants.</w:t>
      </w:r>
    </w:p>
    <w:p w:rsidR="007C4601" w:rsidRDefault="007C4601" w:rsidP="007C460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 montant total des frais bancaires à février 2012 sont de </w:t>
      </w:r>
      <w:r w:rsidRPr="007C4601">
        <w:rPr>
          <w:rFonts w:ascii="Arial" w:hAnsi="Arial" w:cs="Arial"/>
          <w:b/>
        </w:rPr>
        <w:t>32 088 128,88€HT</w:t>
      </w:r>
      <w:r>
        <w:rPr>
          <w:rFonts w:ascii="Arial" w:hAnsi="Arial" w:cs="Arial"/>
        </w:rPr>
        <w:t xml:space="preserve">. Ce montant vient en complément des </w:t>
      </w:r>
      <w:r w:rsidRPr="007C4601">
        <w:rPr>
          <w:rFonts w:ascii="Arial" w:hAnsi="Arial" w:cs="Arial"/>
          <w:b/>
        </w:rPr>
        <w:t>3 445 913€HT</w:t>
      </w:r>
      <w:r>
        <w:rPr>
          <w:rFonts w:ascii="Arial" w:hAnsi="Arial" w:cs="Arial"/>
        </w:rPr>
        <w:t xml:space="preserve"> demandés dans le claim1. (</w:t>
      </w:r>
      <w:proofErr w:type="gramStart"/>
      <w:r>
        <w:rPr>
          <w:rFonts w:ascii="Arial" w:hAnsi="Arial" w:cs="Arial"/>
        </w:rPr>
        <w:t>voir</w:t>
      </w:r>
      <w:proofErr w:type="gramEnd"/>
      <w:r>
        <w:rPr>
          <w:rFonts w:ascii="Arial" w:hAnsi="Arial" w:cs="Arial"/>
        </w:rPr>
        <w:t xml:space="preserve"> tableau de calculs et méthodologie en annexe 20-1)</w:t>
      </w:r>
    </w:p>
    <w:p w:rsidR="00916666" w:rsidRDefault="00916666" w:rsidP="00916666">
      <w:pPr>
        <w:spacing w:line="480" w:lineRule="auto"/>
        <w:rPr>
          <w:rFonts w:ascii="Arial" w:hAnsi="Arial" w:cs="Arial"/>
        </w:rPr>
      </w:pPr>
      <w:r w:rsidRPr="00916666">
        <w:rPr>
          <w:rFonts w:ascii="Arial" w:hAnsi="Arial" w:cs="Arial"/>
        </w:rPr>
        <w:t>Les deux prolongations de délai des travaux (19 mois) et de la MSI</w:t>
      </w:r>
      <w:r w:rsidR="007C4601">
        <w:rPr>
          <w:rFonts w:ascii="Arial" w:hAnsi="Arial" w:cs="Arial"/>
        </w:rPr>
        <w:t>, ainsi que les arrêts des décaissements</w:t>
      </w:r>
      <w:r w:rsidRPr="00916666">
        <w:rPr>
          <w:rFonts w:ascii="Arial" w:hAnsi="Arial" w:cs="Arial"/>
        </w:rPr>
        <w:t xml:space="preserve"> ont aussi refondu le calendrier et les montants prévisionnels des frais intercalaires prévus à la DSP. EVERE demande donc que la différence </w:t>
      </w:r>
      <w:r>
        <w:rPr>
          <w:rFonts w:ascii="Arial" w:hAnsi="Arial" w:cs="Arial"/>
        </w:rPr>
        <w:t>plus les frais inhérents</w:t>
      </w:r>
      <w:r w:rsidRPr="00916666">
        <w:rPr>
          <w:rFonts w:ascii="Arial" w:hAnsi="Arial" w:cs="Arial"/>
        </w:rPr>
        <w:t xml:space="preserve"> </w:t>
      </w:r>
      <w:proofErr w:type="gramStart"/>
      <w:r w:rsidRPr="00916666">
        <w:rPr>
          <w:rFonts w:ascii="Arial" w:hAnsi="Arial" w:cs="Arial"/>
        </w:rPr>
        <w:t>soient</w:t>
      </w:r>
      <w:proofErr w:type="gramEnd"/>
      <w:r w:rsidRPr="00916666">
        <w:rPr>
          <w:rFonts w:ascii="Arial" w:hAnsi="Arial" w:cs="Arial"/>
        </w:rPr>
        <w:t xml:space="preserve"> </w:t>
      </w:r>
      <w:r w:rsidR="00EC6D35">
        <w:rPr>
          <w:rFonts w:ascii="Arial" w:hAnsi="Arial" w:cs="Arial"/>
        </w:rPr>
        <w:t>imputés à MPM</w:t>
      </w:r>
      <w:r w:rsidRPr="00916666">
        <w:rPr>
          <w:rFonts w:ascii="Arial" w:hAnsi="Arial" w:cs="Arial"/>
        </w:rPr>
        <w:t>.</w:t>
      </w:r>
      <w:r w:rsidR="002A5862">
        <w:rPr>
          <w:rFonts w:ascii="Arial" w:hAnsi="Arial" w:cs="Arial"/>
        </w:rPr>
        <w:t xml:space="preserve"> </w:t>
      </w:r>
    </w:p>
    <w:p w:rsidR="007C4601" w:rsidRPr="00916666" w:rsidRDefault="007C4601" w:rsidP="009166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Les frais de préfinancements s’élèvent en février 2012 à </w:t>
      </w:r>
      <w:r w:rsidR="002A5862">
        <w:rPr>
          <w:rFonts w:ascii="Arial" w:hAnsi="Arial" w:cs="Arial"/>
          <w:b/>
        </w:rPr>
        <w:t xml:space="preserve">8 666 656,74 </w:t>
      </w:r>
      <w:r w:rsidRPr="007C4601">
        <w:rPr>
          <w:rFonts w:ascii="Arial" w:hAnsi="Arial" w:cs="Arial"/>
          <w:b/>
        </w:rPr>
        <w:t>€HT</w:t>
      </w:r>
      <w:r>
        <w:rPr>
          <w:rFonts w:ascii="Arial" w:hAnsi="Arial" w:cs="Arial"/>
          <w:b/>
        </w:rPr>
        <w:t>.</w:t>
      </w:r>
    </w:p>
    <w:p w:rsidR="003B2149" w:rsidRDefault="003B2149" w:rsidP="00916666">
      <w:pPr>
        <w:spacing w:line="480" w:lineRule="auto"/>
        <w:rPr>
          <w:rFonts w:ascii="Arial" w:hAnsi="Arial" w:cs="Arial"/>
        </w:rPr>
      </w:pPr>
    </w:p>
    <w:p w:rsidR="003B2149" w:rsidRPr="003B2149" w:rsidRDefault="003B2149" w:rsidP="00916666">
      <w:pPr>
        <w:spacing w:line="480" w:lineRule="auto"/>
        <w:rPr>
          <w:rFonts w:ascii="Arial" w:hAnsi="Arial" w:cs="Arial"/>
          <w:b/>
          <w:u w:val="single"/>
        </w:rPr>
      </w:pPr>
      <w:r w:rsidRPr="003B2149">
        <w:rPr>
          <w:rFonts w:ascii="Arial" w:hAnsi="Arial" w:cs="Arial"/>
          <w:b/>
          <w:u w:val="single"/>
        </w:rPr>
        <w:t>20-2 Prolongation de la phase MSI du Contrat de Bail Immobilier (CBI).</w:t>
      </w:r>
    </w:p>
    <w:p w:rsidR="003B2149" w:rsidRDefault="003B2149" w:rsidP="009166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 ce jour, SOGEFINERG considère toujours que le projet en en MSI. Ce</w:t>
      </w:r>
      <w:r w:rsidR="007C4601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provient notamment du fait de l’installation tardive du 2</w:t>
      </w:r>
      <w:r w:rsidRPr="003B2149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groupe électrogène. </w:t>
      </w:r>
    </w:p>
    <w:p w:rsidR="008F5653" w:rsidRDefault="008F5653" w:rsidP="009166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Une fiche de demande de modification EVE BGA MD 0 003 B a été émise le 23/01/2008. Cette fiche a reçu un avis favorable sur le principe de modification par MPM (voir annexe 20-2). Le principe validé était de ne mettre qu’un seul groupe pour la fin de MSI sur les deux prévus à la DSP. Le deuxième aurait été installé postérieurement pour les raisons explicitées dans la fiche de demande de modification.</w:t>
      </w:r>
    </w:p>
    <w:p w:rsidR="008F5653" w:rsidRDefault="008F5653" w:rsidP="009166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Avant la MSI, MPM et le cabinet Merlin sont revenus sur cette décision et ont demandé à ce que le deuxième groupe soit installé. Les temps de fabrication étant long, il était alors impossible de les installer avant la fin de la MSI.</w:t>
      </w:r>
    </w:p>
    <w:p w:rsidR="008F5653" w:rsidRDefault="00D572AE" w:rsidP="009166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Une réserve a donc été émise par MPM/Merlin à la fin de la MSI. Pour SOGEFINERG,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non mise en œuvre de cet équipement empêche de prononcer la réception de l’usine. Ainsi, vis-à-vis du Crédit Bailleur, nous sommes toujours en phase MSI. Les frais relatifs à cette phase sont toujours appliqués. </w:t>
      </w:r>
    </w:p>
    <w:p w:rsidR="00D572AE" w:rsidRDefault="00D572AE" w:rsidP="00916666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 calcul des frais est en annexe 20-2. Le montant total demandé est de </w:t>
      </w:r>
      <w:r w:rsidRPr="00D572AE">
        <w:rPr>
          <w:rFonts w:ascii="Arial" w:hAnsi="Arial" w:cs="Arial"/>
          <w:b/>
        </w:rPr>
        <w:t>1 2</w:t>
      </w:r>
      <w:r w:rsidR="002E1E70">
        <w:rPr>
          <w:rFonts w:ascii="Arial" w:hAnsi="Arial" w:cs="Arial"/>
          <w:b/>
        </w:rPr>
        <w:t xml:space="preserve">99 007,15 </w:t>
      </w:r>
      <w:r w:rsidRPr="00D572AE">
        <w:rPr>
          <w:rFonts w:ascii="Arial" w:hAnsi="Arial" w:cs="Arial"/>
          <w:b/>
        </w:rPr>
        <w:t>€</w:t>
      </w:r>
      <w:r w:rsidR="002E1E70">
        <w:rPr>
          <w:rFonts w:ascii="Arial" w:hAnsi="Arial" w:cs="Arial"/>
          <w:b/>
        </w:rPr>
        <w:t xml:space="preserve"> </w:t>
      </w:r>
      <w:r w:rsidR="002E1E70" w:rsidRPr="002E1E70">
        <w:rPr>
          <w:rFonts w:ascii="Arial" w:hAnsi="Arial" w:cs="Arial"/>
        </w:rPr>
        <w:t>(à décembre 2011)</w:t>
      </w:r>
      <w:r w:rsidRPr="002E1E70">
        <w:rPr>
          <w:rFonts w:ascii="Arial" w:hAnsi="Arial" w:cs="Arial"/>
        </w:rPr>
        <w:t>.</w:t>
      </w:r>
    </w:p>
    <w:p w:rsidR="00D572AE" w:rsidRDefault="00D572AE" w:rsidP="00916666">
      <w:pPr>
        <w:spacing w:line="480" w:lineRule="auto"/>
        <w:rPr>
          <w:rFonts w:ascii="Arial" w:hAnsi="Arial" w:cs="Arial"/>
          <w:b/>
        </w:rPr>
      </w:pPr>
    </w:p>
    <w:p w:rsidR="00D572AE" w:rsidRDefault="00D572AE" w:rsidP="00916666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20-3 Décalage de paiement de la redevance financière</w:t>
      </w:r>
    </w:p>
    <w:p w:rsidR="00586561" w:rsidRDefault="00586561" w:rsidP="009166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Au cours du premier semestre 2011, des décalages de paiement de la redevance financière ont été observés. Le crédit bailleur a facturé à EVERE les intérêts dus au retard de paiement. Le tableau récapitulatif est en annexe 20-3.</w:t>
      </w:r>
    </w:p>
    <w:p w:rsidR="00586561" w:rsidRDefault="00586561" w:rsidP="009166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EVERE demande à ce que l’intégralité de ces frais soit remboursée. Le montant est de </w:t>
      </w:r>
      <w:r w:rsidRPr="00586561">
        <w:rPr>
          <w:rFonts w:ascii="Arial" w:hAnsi="Arial" w:cs="Arial"/>
          <w:b/>
        </w:rPr>
        <w:t>50 480,78€.</w:t>
      </w:r>
    </w:p>
    <w:p w:rsidR="00D572AE" w:rsidRPr="00D572AE" w:rsidRDefault="00586561" w:rsidP="009166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572AE" w:rsidRPr="00D572AE" w:rsidSect="0018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3AD5"/>
    <w:multiLevelType w:val="hybridMultilevel"/>
    <w:tmpl w:val="FC9ED192"/>
    <w:lvl w:ilvl="0" w:tplc="705E2894">
      <w:start w:val="1"/>
      <w:numFmt w:val="decimal"/>
      <w:lvlText w:val="%1)"/>
      <w:lvlJc w:val="left"/>
      <w:pPr>
        <w:ind w:left="144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807"/>
    <w:rsid w:val="00182482"/>
    <w:rsid w:val="00187D7C"/>
    <w:rsid w:val="002A5862"/>
    <w:rsid w:val="002E1E70"/>
    <w:rsid w:val="003B2149"/>
    <w:rsid w:val="0046383F"/>
    <w:rsid w:val="00563807"/>
    <w:rsid w:val="00586561"/>
    <w:rsid w:val="007C4601"/>
    <w:rsid w:val="008F5653"/>
    <w:rsid w:val="00916666"/>
    <w:rsid w:val="00BE38BB"/>
    <w:rsid w:val="00D572AE"/>
    <w:rsid w:val="00D67CFE"/>
    <w:rsid w:val="00EC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3807"/>
    <w:pPr>
      <w:spacing w:after="0" w:line="240" w:lineRule="auto"/>
      <w:ind w:left="720"/>
    </w:pPr>
    <w:rPr>
      <w:rFonts w:ascii="Calibri" w:hAnsi="Calibri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URBASER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2012-02-21T09:57:00Z</dcterms:created>
  <dcterms:modified xsi:type="dcterms:W3CDTF">2012-02-21T14:04:00Z</dcterms:modified>
</cp:coreProperties>
</file>