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3C" w:rsidRDefault="0061423C" w:rsidP="0061423C">
      <w:pPr>
        <w:pStyle w:val="Paragraphedeliste"/>
        <w:numPr>
          <w:ilvl w:val="0"/>
          <w:numId w:val="1"/>
        </w:numPr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Surcoût de construction </w:t>
      </w:r>
      <w:r>
        <w:rPr>
          <w:rFonts w:ascii="Garamond" w:hAnsi="Garamond"/>
          <w:b/>
          <w:bCs/>
          <w:sz w:val="20"/>
          <w:szCs w:val="20"/>
          <w:u w:val="single"/>
        </w:rPr>
        <w:t>« onglet frais financier »</w:t>
      </w:r>
    </w:p>
    <w:p w:rsidR="0061423C" w:rsidRDefault="0061423C" w:rsidP="0061423C">
      <w:pPr>
        <w:rPr>
          <w:rFonts w:ascii="Garamond" w:hAnsi="Garamond"/>
          <w:i/>
          <w:iCs/>
          <w:u w:val="single"/>
        </w:rPr>
      </w:pPr>
    </w:p>
    <w:p w:rsidR="0061423C" w:rsidRDefault="0061423C" w:rsidP="0061423C">
      <w:pPr>
        <w:pStyle w:val="Paragraphedeliste"/>
        <w:numPr>
          <w:ilvl w:val="1"/>
          <w:numId w:val="1"/>
        </w:numPr>
        <w:rPr>
          <w:rFonts w:ascii="Garamond" w:hAnsi="Garamond"/>
          <w:i/>
          <w:iCs/>
          <w:u w:val="single"/>
        </w:rPr>
      </w:pPr>
      <w:r>
        <w:rPr>
          <w:rFonts w:ascii="Garamond" w:hAnsi="Garamond"/>
          <w:i/>
          <w:iCs/>
          <w:u w:val="single"/>
        </w:rPr>
        <w:t>Explication du coût</w:t>
      </w:r>
    </w:p>
    <w:p w:rsidR="0061423C" w:rsidRDefault="0061423C" w:rsidP="0061423C">
      <w:pPr>
        <w:rPr>
          <w:rFonts w:ascii="Garamond" w:hAnsi="Garamond"/>
        </w:rPr>
      </w:pPr>
      <w:r>
        <w:rPr>
          <w:rFonts w:ascii="Garamond" w:hAnsi="Garamond"/>
        </w:rPr>
        <w:t xml:space="preserve">Ce premier calcul, prend en compte deux éléments fondamentaux, le surcoût de construction, et le décalage des encaissements de la banque. Ce décalage nous a créé un différentiel que le groupe a dû financer en fonds propres tout au long du projet de construction (colonne E). </w:t>
      </w:r>
    </w:p>
    <w:p w:rsidR="0061423C" w:rsidRDefault="0061423C" w:rsidP="0061423C">
      <w:pPr>
        <w:rPr>
          <w:rFonts w:ascii="Garamond" w:hAnsi="Garamond"/>
        </w:rPr>
      </w:pPr>
      <w:r>
        <w:rPr>
          <w:rFonts w:ascii="Garamond" w:hAnsi="Garamond"/>
        </w:rPr>
        <w:t xml:space="preserve">Afin d’analyser les frais de financement inhérents à cette avance, nous avons pris, afin de rester cohérent avec </w:t>
      </w:r>
      <w:proofErr w:type="gramStart"/>
      <w:r>
        <w:rPr>
          <w:rFonts w:ascii="Garamond" w:hAnsi="Garamond"/>
        </w:rPr>
        <w:t>la</w:t>
      </w:r>
      <w:proofErr w:type="gramEnd"/>
      <w:r>
        <w:rPr>
          <w:rFonts w:ascii="Garamond" w:hAnsi="Garamond"/>
        </w:rPr>
        <w:t xml:space="preserve"> claim 1, le taux WACC (coût moyen pondéré du capital) d’Urbaser qui est  de 8.11%. Ce taux représente la </w:t>
      </w:r>
      <w:hyperlink r:id="rId5" w:tooltip="Rentabilité" w:history="1">
        <w:r>
          <w:rPr>
            <w:rStyle w:val="Lienhypertexte"/>
            <w:rFonts w:ascii="Garamond" w:hAnsi="Garamond"/>
            <w:color w:val="auto"/>
            <w:u w:val="none"/>
          </w:rPr>
          <w:t>rentabilité</w:t>
        </w:r>
      </w:hyperlink>
      <w:r>
        <w:rPr>
          <w:rFonts w:ascii="Garamond" w:hAnsi="Garamond"/>
        </w:rPr>
        <w:t xml:space="preserve"> annuelle moyenne attendue, par les actionnaires et les créanciers, en retour de leur investissement.</w:t>
      </w:r>
    </w:p>
    <w:p w:rsidR="0061423C" w:rsidRDefault="0061423C" w:rsidP="0061423C">
      <w:pPr>
        <w:rPr>
          <w:rFonts w:ascii="Garamond" w:hAnsi="Garamond"/>
        </w:rPr>
      </w:pPr>
    </w:p>
    <w:p w:rsidR="0061423C" w:rsidRDefault="0061423C" w:rsidP="0061423C">
      <w:pPr>
        <w:pStyle w:val="Paragraphedeliste"/>
        <w:numPr>
          <w:ilvl w:val="1"/>
          <w:numId w:val="1"/>
        </w:numPr>
        <w:rPr>
          <w:rFonts w:ascii="Garamond" w:hAnsi="Garamond"/>
          <w:i/>
          <w:iCs/>
          <w:u w:val="single"/>
        </w:rPr>
      </w:pPr>
      <w:r>
        <w:rPr>
          <w:rFonts w:ascii="Garamond" w:hAnsi="Garamond"/>
          <w:i/>
          <w:iCs/>
          <w:u w:val="single"/>
        </w:rPr>
        <w:t>Méthode de calcul</w:t>
      </w:r>
    </w:p>
    <w:p w:rsidR="0061423C" w:rsidRDefault="0061423C" w:rsidP="0061423C">
      <w:pPr>
        <w:rPr>
          <w:rFonts w:ascii="Garamond" w:hAnsi="Garamond"/>
          <w:i/>
          <w:iCs/>
          <w:u w:val="single"/>
        </w:rPr>
      </w:pPr>
    </w:p>
    <w:p w:rsidR="0061423C" w:rsidRDefault="0061423C" w:rsidP="0061423C">
      <w:pPr>
        <w:rPr>
          <w:rFonts w:ascii="Garamond" w:hAnsi="Garamond"/>
        </w:rPr>
      </w:pPr>
      <w:r>
        <w:rPr>
          <w:rFonts w:ascii="Garamond" w:hAnsi="Garamond"/>
        </w:rPr>
        <w:t xml:space="preserve">Nous démarrons le calcul en août 2007. En effet, les frais de financement avant cette date ont déjà été calculés dans </w:t>
      </w:r>
      <w:proofErr w:type="gramStart"/>
      <w:r>
        <w:rPr>
          <w:rFonts w:ascii="Garamond" w:hAnsi="Garamond"/>
        </w:rPr>
        <w:t>la</w:t>
      </w:r>
      <w:proofErr w:type="gramEnd"/>
      <w:r>
        <w:rPr>
          <w:rFonts w:ascii="Garamond" w:hAnsi="Garamond"/>
        </w:rPr>
        <w:t xml:space="preserve"> claim 1 (page 298) et ils représentent 3 445 913.00€.</w:t>
      </w:r>
    </w:p>
    <w:p w:rsidR="0061423C" w:rsidRDefault="0061423C" w:rsidP="0061423C">
      <w:pPr>
        <w:rPr>
          <w:rFonts w:ascii="Garamond" w:hAnsi="Garamond"/>
        </w:rPr>
      </w:pPr>
      <w:r>
        <w:rPr>
          <w:rFonts w:ascii="Garamond" w:hAnsi="Garamond"/>
        </w:rPr>
        <w:t>La colonne B représente les investissements HT et la colonne D les encaissements de la banque HT, le différentiel se trouve en colonne E.</w:t>
      </w:r>
    </w:p>
    <w:p w:rsidR="0061423C" w:rsidRDefault="0061423C" w:rsidP="0061423C">
      <w:pPr>
        <w:rPr>
          <w:rFonts w:ascii="Garamond" w:hAnsi="Garamond"/>
        </w:rPr>
      </w:pPr>
    </w:p>
    <w:p w:rsidR="0061423C" w:rsidRDefault="0061423C" w:rsidP="0061423C">
      <w:pPr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 xml:space="preserve">Remarque : nous avons déduit de la première ligne de calcul 29 000 000 € qui représente les 10% de fonds propres du groupe. </w:t>
      </w:r>
    </w:p>
    <w:p w:rsidR="0061423C" w:rsidRDefault="0061423C" w:rsidP="0061423C">
      <w:pPr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. De plus, nous avons rajouté cellule E 30 et E 40 les frais liés au protocole 1 puis 2.</w:t>
      </w:r>
    </w:p>
    <w:p w:rsidR="0061423C" w:rsidRDefault="0061423C" w:rsidP="0061423C">
      <w:pPr>
        <w:rPr>
          <w:rFonts w:ascii="Garamond" w:hAnsi="Garamond"/>
        </w:rPr>
      </w:pPr>
    </w:p>
    <w:p w:rsidR="0061423C" w:rsidRDefault="0061423C" w:rsidP="0061423C">
      <w:pPr>
        <w:rPr>
          <w:rFonts w:ascii="Garamond" w:hAnsi="Garamond"/>
        </w:rPr>
      </w:pPr>
      <w:r>
        <w:rPr>
          <w:rFonts w:ascii="Garamond" w:hAnsi="Garamond"/>
        </w:rPr>
        <w:t>Le tableau juste à droite est un tableau pyramidal avec le calcul mensuel des frais financements jusqu'à janvier 2012 (en effet, le coût de financement continue à courir à ce jour et continuera dans le futur).</w:t>
      </w:r>
    </w:p>
    <w:p w:rsidR="0061423C" w:rsidRDefault="0061423C" w:rsidP="0061423C">
      <w:pPr>
        <w:rPr>
          <w:rFonts w:ascii="Garamond" w:hAnsi="Garamond"/>
          <w:b/>
          <w:bCs/>
          <w:highlight w:val="yellow"/>
        </w:rPr>
      </w:pPr>
      <w:r>
        <w:rPr>
          <w:rFonts w:ascii="Garamond" w:hAnsi="Garamond"/>
          <w:b/>
          <w:bCs/>
          <w:highlight w:val="yellow"/>
        </w:rPr>
        <w:t xml:space="preserve">Le coût global représente 32 088 128.28 € plus </w:t>
      </w:r>
      <w:proofErr w:type="gramStart"/>
      <w:r>
        <w:rPr>
          <w:rFonts w:ascii="Garamond" w:hAnsi="Garamond"/>
          <w:b/>
          <w:bCs/>
          <w:highlight w:val="yellow"/>
        </w:rPr>
        <w:t>la</w:t>
      </w:r>
      <w:proofErr w:type="gramEnd"/>
      <w:r>
        <w:rPr>
          <w:rFonts w:ascii="Garamond" w:hAnsi="Garamond"/>
          <w:b/>
          <w:bCs/>
          <w:highlight w:val="yellow"/>
        </w:rPr>
        <w:t xml:space="preserve"> claim 1 de 3 445 913.00</w:t>
      </w:r>
      <w:r>
        <w:rPr>
          <w:rFonts w:ascii="Garamond" w:hAnsi="Garamond"/>
          <w:b/>
          <w:bCs/>
          <w:highlight w:val="yellow"/>
          <w:vertAlign w:val="superscript"/>
        </w:rPr>
        <w:t xml:space="preserve"> </w:t>
      </w:r>
      <w:r>
        <w:rPr>
          <w:rFonts w:ascii="Garamond" w:hAnsi="Garamond"/>
          <w:b/>
          <w:bCs/>
          <w:highlight w:val="yellow"/>
        </w:rPr>
        <w:t>€ ce qui nous donne un global de 35 534 041.28 €</w:t>
      </w:r>
    </w:p>
    <w:p w:rsidR="00187D7C" w:rsidRDefault="00187D7C"/>
    <w:p w:rsidR="0061423C" w:rsidRDefault="0061423C" w:rsidP="0061423C">
      <w:pPr>
        <w:pStyle w:val="Paragraphedeliste"/>
        <w:numPr>
          <w:ilvl w:val="0"/>
          <w:numId w:val="1"/>
        </w:numPr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 xml:space="preserve">Surcoût des frais intercalaires </w:t>
      </w:r>
      <w:r>
        <w:rPr>
          <w:rFonts w:ascii="Garamond" w:hAnsi="Garamond"/>
          <w:b/>
          <w:bCs/>
          <w:sz w:val="20"/>
          <w:szCs w:val="20"/>
          <w:u w:val="single"/>
        </w:rPr>
        <w:t>« onglet frais préfinancement »</w:t>
      </w:r>
    </w:p>
    <w:p w:rsidR="0061423C" w:rsidRDefault="0061423C" w:rsidP="0061423C">
      <w:pPr>
        <w:rPr>
          <w:rFonts w:ascii="Garamond" w:hAnsi="Garamond"/>
        </w:rPr>
      </w:pPr>
    </w:p>
    <w:p w:rsidR="0061423C" w:rsidRDefault="0061423C" w:rsidP="0061423C">
      <w:pPr>
        <w:pStyle w:val="Paragraphedeliste"/>
        <w:numPr>
          <w:ilvl w:val="1"/>
          <w:numId w:val="1"/>
        </w:numPr>
        <w:rPr>
          <w:rFonts w:ascii="Garamond" w:hAnsi="Garamond"/>
          <w:i/>
          <w:iCs/>
          <w:u w:val="single"/>
        </w:rPr>
      </w:pPr>
      <w:r>
        <w:rPr>
          <w:rFonts w:ascii="Garamond" w:hAnsi="Garamond"/>
          <w:i/>
          <w:iCs/>
          <w:u w:val="single"/>
        </w:rPr>
        <w:t>Explication du coût</w:t>
      </w:r>
    </w:p>
    <w:p w:rsidR="0061423C" w:rsidRDefault="0061423C" w:rsidP="0061423C">
      <w:pPr>
        <w:rPr>
          <w:rFonts w:ascii="Garamond" w:hAnsi="Garamond"/>
        </w:rPr>
      </w:pPr>
      <w:r>
        <w:rPr>
          <w:rFonts w:ascii="Garamond" w:hAnsi="Garamond"/>
        </w:rPr>
        <w:t xml:space="preserve">Le coût des frais intercalaires d’origine étaient de 10 355 565 €. Cependant, différents évènements comme, le surcoût de construction,  l’arrêt du préfinancement des banques à cause entre autre du surcoût et des dénonciations de l’arrêté préfectorale, on fait nettement augmenter ce chiffre. </w:t>
      </w:r>
    </w:p>
    <w:p w:rsidR="0061423C" w:rsidRDefault="0061423C" w:rsidP="0061423C">
      <w:pPr>
        <w:rPr>
          <w:rFonts w:ascii="Garamond" w:hAnsi="Garamond"/>
        </w:rPr>
      </w:pPr>
    </w:p>
    <w:p w:rsidR="0061423C" w:rsidRDefault="0061423C" w:rsidP="0061423C">
      <w:pPr>
        <w:pStyle w:val="Paragraphedeliste"/>
        <w:numPr>
          <w:ilvl w:val="0"/>
          <w:numId w:val="2"/>
        </w:numPr>
        <w:rPr>
          <w:rFonts w:ascii="Garamond" w:hAnsi="Garamond"/>
          <w:i/>
          <w:iCs/>
          <w:u w:val="single"/>
        </w:rPr>
      </w:pPr>
      <w:r>
        <w:rPr>
          <w:rFonts w:ascii="Garamond" w:hAnsi="Garamond"/>
          <w:i/>
          <w:iCs/>
          <w:u w:val="single"/>
        </w:rPr>
        <w:t>Méthode de calcul</w:t>
      </w:r>
    </w:p>
    <w:p w:rsidR="0061423C" w:rsidRDefault="0061423C" w:rsidP="0061423C">
      <w:pPr>
        <w:rPr>
          <w:rFonts w:ascii="Garamond" w:hAnsi="Garamond"/>
        </w:rPr>
      </w:pPr>
      <w:r>
        <w:rPr>
          <w:rFonts w:ascii="Garamond" w:hAnsi="Garamond"/>
        </w:rPr>
        <w:t xml:space="preserve">Le préfinancement est passé à 13 127 321.36 €. Cette somme est calculé de fait dans la partie 1.Cependant, ces différents évènements, nous ont aussi amené les banques à stopper le préfinancement que nous avons dû payer </w:t>
      </w:r>
      <w:proofErr w:type="gramStart"/>
      <w:r>
        <w:rPr>
          <w:rFonts w:ascii="Garamond" w:hAnsi="Garamond"/>
        </w:rPr>
        <w:t>( voir</w:t>
      </w:r>
      <w:proofErr w:type="gramEnd"/>
      <w:r>
        <w:rPr>
          <w:rFonts w:ascii="Garamond" w:hAnsi="Garamond"/>
        </w:rPr>
        <w:t xml:space="preserve"> onglet  frais préfinancement), notamment avant la signature du protocole d’accord 1 et pendant la prolongation de la MSI.</w:t>
      </w:r>
    </w:p>
    <w:p w:rsidR="0061423C" w:rsidRDefault="0061423C" w:rsidP="0061423C">
      <w:pPr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En reprenant, le même principe de calcul que la partie 1, nous arrivons à </w:t>
      </w:r>
      <w:r>
        <w:rPr>
          <w:rFonts w:ascii="Garamond" w:hAnsi="Garamond"/>
          <w:b/>
          <w:bCs/>
          <w:highlight w:val="yellow"/>
        </w:rPr>
        <w:t xml:space="preserve">un montant de 8 666 656.74 € </w:t>
      </w:r>
      <w:proofErr w:type="gramStart"/>
      <w:r>
        <w:rPr>
          <w:rFonts w:ascii="Garamond" w:hAnsi="Garamond"/>
          <w:b/>
          <w:bCs/>
          <w:highlight w:val="yellow"/>
        </w:rPr>
        <w:t>qui</w:t>
      </w:r>
      <w:proofErr w:type="gramEnd"/>
      <w:r>
        <w:rPr>
          <w:rFonts w:ascii="Garamond" w:hAnsi="Garamond"/>
          <w:b/>
          <w:bCs/>
          <w:highlight w:val="yellow"/>
        </w:rPr>
        <w:t xml:space="preserve"> se décompose de 7 267 197.45 € (préfinancement payé) et de 1 399 459.29 € (frais financiers liés à cette dépense.</w:t>
      </w:r>
      <w:r>
        <w:rPr>
          <w:rFonts w:ascii="Garamond" w:hAnsi="Garamond"/>
          <w:b/>
          <w:bCs/>
        </w:rPr>
        <w:t xml:space="preserve">   </w:t>
      </w:r>
    </w:p>
    <w:p w:rsidR="0061423C" w:rsidRDefault="0061423C"/>
    <w:sectPr w:rsidR="0061423C" w:rsidSect="00187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056"/>
    <w:multiLevelType w:val="hybridMultilevel"/>
    <w:tmpl w:val="0D3E622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0777C1"/>
    <w:multiLevelType w:val="hybridMultilevel"/>
    <w:tmpl w:val="C7C8E4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61423C"/>
    <w:rsid w:val="00187D7C"/>
    <w:rsid w:val="0046383F"/>
    <w:rsid w:val="0061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23C"/>
    <w:pPr>
      <w:spacing w:after="0" w:line="240" w:lineRule="auto"/>
    </w:pPr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1423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1423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r.wikipedia.org/wiki/Rentabilit%C3%A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402</Words>
  <Characters>2212</Characters>
  <Application>Microsoft Office Word</Application>
  <DocSecurity>0</DocSecurity>
  <Lines>18</Lines>
  <Paragraphs>5</Paragraphs>
  <ScaleCrop>false</ScaleCrop>
  <Company>URBASER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cp:lastPrinted>2012-02-21T13:46:00Z</cp:lastPrinted>
  <dcterms:created xsi:type="dcterms:W3CDTF">2012-02-21T13:42:00Z</dcterms:created>
  <dcterms:modified xsi:type="dcterms:W3CDTF">2012-02-21T13:52:00Z</dcterms:modified>
</cp:coreProperties>
</file>